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65B08" w14:textId="77777777" w:rsidR="009E5FA8" w:rsidRPr="00765384" w:rsidRDefault="009E5FA8" w:rsidP="009E5FA8">
      <w:pPr>
        <w:pStyle w:val="4Titledescription"/>
        <w:rPr>
          <w:lang w:val="en-AU"/>
        </w:rPr>
      </w:pPr>
      <w:bookmarkStart w:id="0" w:name="_GoBack"/>
      <w:bookmarkEnd w:id="0"/>
      <w:r w:rsidRPr="00765384">
        <w:rPr>
          <w:noProof/>
          <w:lang w:val="en-AU"/>
        </w:rPr>
        <w:drawing>
          <wp:inline distT="0" distB="0" distL="0" distR="0" wp14:anchorId="066B4743" wp14:editId="5C9993AE">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3ABF22A4" w14:textId="77777777" w:rsidR="009E5FA8" w:rsidRPr="00765384" w:rsidRDefault="009E5FA8" w:rsidP="009E5FA8">
      <w:pPr>
        <w:pStyle w:val="1Documentnameh1"/>
      </w:pPr>
      <w:r w:rsidRPr="00765384">
        <w:t>Practice Alert</w:t>
      </w:r>
    </w:p>
    <w:p w14:paraId="1D2C66C8" w14:textId="0AAFCA29" w:rsidR="009E5FA8" w:rsidRDefault="006E259A" w:rsidP="006E259A">
      <w:pPr>
        <w:pStyle w:val="3Titleh3"/>
        <w:rPr>
          <w:lang w:val="en-AU"/>
        </w:rPr>
      </w:pPr>
      <w:r>
        <w:rPr>
          <w:lang w:val="en-AU"/>
        </w:rPr>
        <w:t>Hot water safety</w:t>
      </w:r>
    </w:p>
    <w:p w14:paraId="35742E9F" w14:textId="011D3AB3" w:rsidR="006E259A" w:rsidRPr="006E259A" w:rsidRDefault="006E259A" w:rsidP="006E259A">
      <w:pPr>
        <w:pBdr>
          <w:top w:val="single" w:sz="8" w:space="5" w:color="auto"/>
          <w:left w:val="single" w:sz="8" w:space="10" w:color="auto"/>
          <w:bottom w:val="single" w:sz="8" w:space="10" w:color="auto"/>
          <w:right w:val="single" w:sz="8" w:space="10" w:color="auto"/>
        </w:pBdr>
        <w:shd w:val="clear" w:color="auto" w:fill="431C55"/>
        <w:spacing w:before="240"/>
        <w:ind w:right="-35"/>
        <w:rPr>
          <w:rFonts w:eastAsia="Arial Unicode MS" w:cs="Arial Unicode MS"/>
          <w:color w:val="FFFFFF"/>
          <w:sz w:val="24"/>
          <w:szCs w:val="24"/>
          <w:bdr w:val="nil"/>
          <w:lang w:eastAsia="en-AU"/>
          <w14:textOutline w14:w="0" w14:cap="flat" w14:cmpd="sng" w14:algn="ctr">
            <w14:noFill/>
            <w14:prstDash w14:val="solid"/>
            <w14:bevel/>
          </w14:textOutline>
        </w:rPr>
      </w:pPr>
      <w:r>
        <w:rPr>
          <w:rFonts w:eastAsia="Arial Unicode MS" w:cs="Arial Unicode MS"/>
          <w:color w:val="FFFFFF"/>
          <w:sz w:val="24"/>
          <w:szCs w:val="24"/>
          <w:bdr w:val="nil"/>
          <w:lang w:eastAsia="en-AU"/>
          <w14:textOutline w14:w="0" w14:cap="flat" w14:cmpd="sng" w14:algn="ctr">
            <w14:noFill/>
            <w14:prstDash w14:val="solid"/>
            <w14:bevel/>
          </w14:textOutline>
        </w:rPr>
        <w:t>February 2022</w:t>
      </w:r>
    </w:p>
    <w:p w14:paraId="4B6FD0FC" w14:textId="77777777" w:rsidR="009E5FA8" w:rsidRPr="00765384" w:rsidRDefault="009E5FA8" w:rsidP="00437342">
      <w:pPr>
        <w:pStyle w:val="5AboutHeadingh4"/>
        <w:spacing w:before="240" w:after="360"/>
        <w:ind w:right="-34"/>
        <w:rPr>
          <w:lang w:val="en-AU"/>
        </w:rPr>
      </w:pPr>
      <w:r w:rsidRPr="00765384">
        <w:rPr>
          <w:lang w:val="en-AU"/>
        </w:rPr>
        <w:t>Key points</w:t>
      </w:r>
    </w:p>
    <w:p w14:paraId="0FC33826" w14:textId="77777777" w:rsidR="0016482B" w:rsidRPr="00437342" w:rsidRDefault="0016482B" w:rsidP="00437342">
      <w:pPr>
        <w:pStyle w:val="6Aboutbullet"/>
        <w:spacing w:before="0"/>
        <w:ind w:left="425" w:right="-34" w:hanging="425"/>
      </w:pPr>
      <w:r w:rsidRPr="00437342">
        <w:t>Hot water can cause scalding burns within seconds without an installed temperature control device</w:t>
      </w:r>
    </w:p>
    <w:p w14:paraId="4F4DBB55" w14:textId="77777777" w:rsidR="0016482B" w:rsidRPr="00437342" w:rsidRDefault="0016482B" w:rsidP="00437342">
      <w:pPr>
        <w:pStyle w:val="6Aboutbullet"/>
        <w:spacing w:before="0"/>
        <w:ind w:left="425" w:right="-34" w:hanging="425"/>
      </w:pPr>
      <w:r w:rsidRPr="00437342">
        <w:t>Scalding most often occurs in the bathroom and can result in infection and even death</w:t>
      </w:r>
    </w:p>
    <w:p w14:paraId="74188830" w14:textId="77777777" w:rsidR="0016482B" w:rsidRPr="00437342" w:rsidRDefault="0016482B" w:rsidP="00437342">
      <w:pPr>
        <w:pStyle w:val="6Aboutbullet"/>
        <w:spacing w:before="0"/>
        <w:ind w:left="425" w:right="-34" w:hanging="425"/>
      </w:pPr>
      <w:r w:rsidRPr="00437342">
        <w:t xml:space="preserve">People with disability are among those most at risk of scalding </w:t>
      </w:r>
    </w:p>
    <w:p w14:paraId="4B6F4357" w14:textId="77777777" w:rsidR="00337F72" w:rsidRPr="00437342" w:rsidRDefault="0016482B" w:rsidP="00437342">
      <w:pPr>
        <w:pStyle w:val="6Aboutbullet"/>
        <w:spacing w:before="0"/>
        <w:ind w:left="425" w:right="-34" w:hanging="425"/>
      </w:pPr>
      <w:r w:rsidRPr="00437342">
        <w:t>If severe scalding occurs, apply first aid and call an ambulance</w:t>
      </w:r>
      <w:r w:rsidR="00337F72" w:rsidRPr="00437342">
        <w:t xml:space="preserve"> </w:t>
      </w:r>
    </w:p>
    <w:p w14:paraId="37E77146" w14:textId="38A9E937" w:rsidR="00337F72" w:rsidRPr="00437342" w:rsidRDefault="00337F72" w:rsidP="00437342">
      <w:pPr>
        <w:pStyle w:val="6Aboutbullet"/>
        <w:spacing w:before="0"/>
        <w:ind w:left="425" w:right="-34" w:hanging="425"/>
      </w:pPr>
      <w:r w:rsidRPr="00437342">
        <w:t>The risk of scalding fr</w:t>
      </w:r>
      <w:r w:rsidR="00437342" w:rsidRPr="00437342">
        <w:t>om hot water can be reduced by:</w:t>
      </w:r>
    </w:p>
    <w:p w14:paraId="416C14AC" w14:textId="77777777" w:rsidR="00337F72" w:rsidRPr="00437342" w:rsidRDefault="00337F72" w:rsidP="00437342">
      <w:pPr>
        <w:pStyle w:val="6Aboutbullet"/>
        <w:numPr>
          <w:ilvl w:val="0"/>
          <w:numId w:val="33"/>
        </w:numPr>
        <w:spacing w:before="0"/>
        <w:ind w:left="425" w:right="-34" w:hanging="425"/>
      </w:pPr>
      <w:r w:rsidRPr="00437342">
        <w:t xml:space="preserve">Ensuring devices that limit hot water temperature are installed and maintained in line with the Australian Standards </w:t>
      </w:r>
    </w:p>
    <w:p w14:paraId="6A343BDE" w14:textId="4788E337" w:rsidR="00337F72" w:rsidRPr="00437342" w:rsidRDefault="00337F72" w:rsidP="00437342">
      <w:pPr>
        <w:pStyle w:val="6Aboutbullet"/>
        <w:numPr>
          <w:ilvl w:val="0"/>
          <w:numId w:val="33"/>
        </w:numPr>
        <w:spacing w:before="0"/>
        <w:ind w:left="425" w:right="-34" w:hanging="425"/>
      </w:pPr>
      <w:r w:rsidRPr="00437342">
        <w:t>Always running the cold water into the bath or shower first before the hot water</w:t>
      </w:r>
    </w:p>
    <w:p w14:paraId="6C2D913F" w14:textId="5E02A345" w:rsidR="0016482B" w:rsidRPr="00437342" w:rsidRDefault="00337F72" w:rsidP="00437342">
      <w:pPr>
        <w:pStyle w:val="6Aboutbullet"/>
        <w:numPr>
          <w:ilvl w:val="0"/>
          <w:numId w:val="33"/>
        </w:numPr>
        <w:spacing w:before="0"/>
        <w:ind w:left="425" w:right="-34" w:hanging="425"/>
      </w:pPr>
      <w:r w:rsidRPr="00437342">
        <w:t>Always checking the temperature of the bath or shower before a participant enters the water</w:t>
      </w:r>
    </w:p>
    <w:p w14:paraId="09C77A96" w14:textId="77777777" w:rsidR="006E259A" w:rsidRPr="006E259A" w:rsidRDefault="006E259A" w:rsidP="00936864">
      <w:pPr>
        <w:pStyle w:val="Heading1"/>
      </w:pPr>
      <w:r w:rsidRPr="006E259A">
        <w:t>Importance of hot water safety:</w:t>
      </w:r>
    </w:p>
    <w:p w14:paraId="44B68969" w14:textId="77777777" w:rsidR="006E259A" w:rsidRPr="006E259A" w:rsidRDefault="006E259A" w:rsidP="006E259A">
      <w:pPr>
        <w:suppressAutoHyphens/>
        <w:spacing w:before="200" w:after="200" w:line="280" w:lineRule="atLeast"/>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Very hot liquids or steam can cause a type of burn called a scald (HealthDirect 2021; WHO 2018).</w:t>
      </w:r>
    </w:p>
    <w:p w14:paraId="29C24E79" w14:textId="02685A4A" w:rsidR="006E259A" w:rsidRPr="006E259A" w:rsidRDefault="006E259A" w:rsidP="006E259A">
      <w:pPr>
        <w:suppressAutoHyphens/>
        <w:spacing w:before="200" w:after="200" w:line="280" w:lineRule="atLeast"/>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 xml:space="preserve">Scalding is the second highest cause of burns apart from fire (Burns </w:t>
      </w:r>
      <w:r w:rsidR="005501E9">
        <w:rPr>
          <w:rFonts w:asciiTheme="minorHAnsi" w:hAnsiTheme="minorHAnsi" w:cstheme="minorBidi"/>
          <w:color w:val="000000" w:themeColor="text1"/>
          <w:szCs w:val="20"/>
        </w:rPr>
        <w:t>R</w:t>
      </w:r>
      <w:r w:rsidRPr="006E259A">
        <w:rPr>
          <w:rFonts w:asciiTheme="minorHAnsi" w:hAnsiTheme="minorHAnsi" w:cstheme="minorBidi"/>
          <w:color w:val="000000" w:themeColor="text1"/>
          <w:szCs w:val="20"/>
        </w:rPr>
        <w:t xml:space="preserve">egistry of </w:t>
      </w:r>
      <w:r w:rsidR="005501E9">
        <w:rPr>
          <w:rFonts w:asciiTheme="minorHAnsi" w:hAnsiTheme="minorHAnsi" w:cstheme="minorBidi"/>
          <w:color w:val="000000" w:themeColor="text1"/>
          <w:szCs w:val="20"/>
        </w:rPr>
        <w:t>ANZ</w:t>
      </w:r>
      <w:r w:rsidRPr="006E259A">
        <w:rPr>
          <w:rFonts w:asciiTheme="minorHAnsi" w:hAnsiTheme="minorHAnsi" w:cstheme="minorBidi"/>
          <w:color w:val="000000" w:themeColor="text1"/>
          <w:szCs w:val="20"/>
        </w:rPr>
        <w:t xml:space="preserve"> 2021) and is a preventable injury that can lead to scarring, painful treatment, infection and death (Forbinake 2020; PHAA 2012). </w:t>
      </w:r>
    </w:p>
    <w:p w14:paraId="1E493CD2" w14:textId="77777777" w:rsidR="006E259A" w:rsidRPr="006E259A" w:rsidRDefault="006E259A" w:rsidP="006E259A">
      <w:pPr>
        <w:suppressAutoHyphens/>
        <w:spacing w:before="200" w:after="200" w:line="280" w:lineRule="atLeast"/>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 xml:space="preserve">More than 90% of scalding occurs in the bathroom from showers or baths that are too hot (PHAA 2012; Victorian building authority 2022). </w:t>
      </w:r>
    </w:p>
    <w:p w14:paraId="7AAEF4FD" w14:textId="77777777" w:rsidR="006E259A" w:rsidRPr="006E259A" w:rsidRDefault="006E259A" w:rsidP="006E259A">
      <w:pPr>
        <w:suppressAutoHyphens/>
        <w:spacing w:before="200" w:after="200" w:line="280" w:lineRule="atLeast"/>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lastRenderedPageBreak/>
        <w:t>At a water temperature of 50</w:t>
      </w:r>
      <w:r w:rsidRPr="006E259A">
        <w:rPr>
          <w:rFonts w:asciiTheme="minorHAnsi" w:hAnsiTheme="minorHAnsi" w:cs="Arial"/>
          <w:color w:val="000000" w:themeColor="text1"/>
          <w:szCs w:val="20"/>
        </w:rPr>
        <w:t xml:space="preserve">°C </w:t>
      </w:r>
      <w:r w:rsidRPr="006E259A">
        <w:rPr>
          <w:rFonts w:asciiTheme="minorHAnsi" w:hAnsiTheme="minorHAnsi" w:cstheme="minorBidi"/>
          <w:color w:val="000000" w:themeColor="text1"/>
          <w:szCs w:val="20"/>
        </w:rPr>
        <w:t>it can take five minutes to scald the skin and at 68</w:t>
      </w:r>
      <w:r w:rsidRPr="006E259A">
        <w:rPr>
          <w:rFonts w:asciiTheme="minorHAnsi" w:hAnsiTheme="minorHAnsi" w:cs="Arial"/>
          <w:color w:val="000000" w:themeColor="text1"/>
          <w:szCs w:val="20"/>
        </w:rPr>
        <w:t>°</w:t>
      </w:r>
      <w:r w:rsidRPr="006E259A">
        <w:rPr>
          <w:rFonts w:asciiTheme="minorHAnsi" w:hAnsiTheme="minorHAnsi" w:cstheme="minorBidi"/>
          <w:color w:val="000000" w:themeColor="text1"/>
          <w:szCs w:val="20"/>
        </w:rPr>
        <w:t xml:space="preserve">C it can take only one second to cause third-degree burns (Queensland Government 2020; VBA 2022). </w:t>
      </w:r>
    </w:p>
    <w:p w14:paraId="24F990A9" w14:textId="77777777" w:rsidR="006E259A" w:rsidRPr="006E259A" w:rsidRDefault="006E259A" w:rsidP="00220A6C">
      <w:pPr>
        <w:suppressAutoHyphens/>
        <w:spacing w:before="200" w:after="200" w:line="276" w:lineRule="auto"/>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 xml:space="preserve">The more deeply the skin is harmed, the more serious the health consequences: </w:t>
      </w:r>
    </w:p>
    <w:p w14:paraId="152F7BE3" w14:textId="53E4956C" w:rsidR="006E259A" w:rsidRPr="006E259A" w:rsidRDefault="006E259A" w:rsidP="00220A6C">
      <w:pPr>
        <w:numPr>
          <w:ilvl w:val="0"/>
          <w:numId w:val="27"/>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b/>
          <w:color w:val="000000" w:themeColor="text1"/>
          <w:szCs w:val="20"/>
        </w:rPr>
        <w:t>First-degree burns</w:t>
      </w:r>
      <w:r w:rsidRPr="006E259A">
        <w:rPr>
          <w:rFonts w:asciiTheme="minorHAnsi" w:hAnsiTheme="minorHAnsi" w:cstheme="minorBidi"/>
          <w:color w:val="000000" w:themeColor="text1"/>
          <w:szCs w:val="20"/>
        </w:rPr>
        <w:t xml:space="preserve"> are superficial burns and affect only the outer layer of the skin (e.g sunburn)</w:t>
      </w:r>
      <w:r w:rsidR="002D2FF2">
        <w:rPr>
          <w:rFonts w:asciiTheme="minorHAnsi" w:hAnsiTheme="minorHAnsi" w:cstheme="minorBidi"/>
          <w:color w:val="000000" w:themeColor="text1"/>
          <w:szCs w:val="20"/>
        </w:rPr>
        <w:t>.</w:t>
      </w:r>
    </w:p>
    <w:p w14:paraId="59B07ACC" w14:textId="77777777" w:rsidR="006E259A" w:rsidRPr="006E259A" w:rsidRDefault="006E259A" w:rsidP="00220A6C">
      <w:pPr>
        <w:numPr>
          <w:ilvl w:val="0"/>
          <w:numId w:val="27"/>
        </w:numPr>
        <w:suppressAutoHyphens/>
        <w:spacing w:before="200" w:after="200" w:line="276" w:lineRule="auto"/>
        <w:contextualSpacing/>
        <w:rPr>
          <w:rFonts w:asciiTheme="minorHAnsi" w:hAnsiTheme="minorHAnsi" w:cstheme="minorBidi"/>
          <w:b/>
          <w:color w:val="000000" w:themeColor="text1"/>
          <w:szCs w:val="20"/>
        </w:rPr>
      </w:pPr>
      <w:r w:rsidRPr="006E259A">
        <w:rPr>
          <w:rFonts w:asciiTheme="minorHAnsi" w:hAnsiTheme="minorHAnsi" w:cstheme="minorBidi"/>
          <w:b/>
          <w:color w:val="000000" w:themeColor="text1"/>
          <w:szCs w:val="20"/>
        </w:rPr>
        <w:t xml:space="preserve">Second-degree burns </w:t>
      </w:r>
      <w:r w:rsidRPr="006E259A">
        <w:rPr>
          <w:rFonts w:asciiTheme="minorHAnsi" w:hAnsiTheme="minorHAnsi" w:cstheme="minorBidi"/>
          <w:color w:val="000000" w:themeColor="text1"/>
          <w:szCs w:val="20"/>
        </w:rPr>
        <w:t>look red, blistered,</w:t>
      </w:r>
      <w:r w:rsidRPr="006E259A">
        <w:rPr>
          <w:rFonts w:asciiTheme="minorHAnsi" w:hAnsiTheme="minorHAnsi" w:cstheme="minorBidi"/>
          <w:b/>
          <w:color w:val="000000" w:themeColor="text1"/>
          <w:szCs w:val="20"/>
        </w:rPr>
        <w:t xml:space="preserve"> </w:t>
      </w:r>
      <w:r w:rsidRPr="006E259A">
        <w:rPr>
          <w:rFonts w:asciiTheme="minorHAnsi" w:hAnsiTheme="minorHAnsi" w:cstheme="minorBidi"/>
          <w:color w:val="000000" w:themeColor="text1"/>
          <w:szCs w:val="20"/>
        </w:rPr>
        <w:t>wet, swollen and are often painful (Worksafe Queensland 2022). These scalds are at risk of infection.</w:t>
      </w:r>
    </w:p>
    <w:p w14:paraId="6263BAF3" w14:textId="77777777" w:rsidR="006E259A" w:rsidRPr="006E259A" w:rsidRDefault="006E259A" w:rsidP="00220A6C">
      <w:pPr>
        <w:numPr>
          <w:ilvl w:val="0"/>
          <w:numId w:val="27"/>
        </w:numPr>
        <w:suppressAutoHyphens/>
        <w:spacing w:before="200" w:after="200" w:line="276" w:lineRule="auto"/>
        <w:contextualSpacing/>
        <w:rPr>
          <w:rFonts w:asciiTheme="minorHAnsi" w:hAnsiTheme="minorHAnsi" w:cstheme="minorBidi"/>
          <w:b/>
          <w:color w:val="000000" w:themeColor="text1"/>
          <w:szCs w:val="20"/>
        </w:rPr>
      </w:pPr>
      <w:r w:rsidRPr="006E259A">
        <w:rPr>
          <w:rFonts w:asciiTheme="minorHAnsi" w:hAnsiTheme="minorHAnsi" w:cstheme="minorBidi"/>
          <w:b/>
          <w:color w:val="000000" w:themeColor="text1"/>
          <w:szCs w:val="20"/>
        </w:rPr>
        <w:t>Third-degree burns</w:t>
      </w:r>
      <w:r w:rsidRPr="006E259A">
        <w:rPr>
          <w:rFonts w:asciiTheme="minorHAnsi" w:hAnsiTheme="minorHAnsi" w:cstheme="minorBidi"/>
          <w:color w:val="000000" w:themeColor="text1"/>
          <w:szCs w:val="20"/>
        </w:rPr>
        <w:t xml:space="preserve"> destroy the outer and inner layer of the skin and may also damage muscles, tendons and ligaments. Third-degree burns may require skin grafts, surgeries, and extensive hospitalisation. People with third-degree burns are at increased risk of infection and sepsis, which can lead to organ failure and death (Sepsis Alliance 2022).  </w:t>
      </w:r>
    </w:p>
    <w:p w14:paraId="1DE2413D" w14:textId="77777777" w:rsidR="006E259A" w:rsidRPr="006E259A" w:rsidRDefault="006E259A" w:rsidP="00936864">
      <w:pPr>
        <w:pStyle w:val="Heading2"/>
      </w:pPr>
      <w:r w:rsidRPr="006E259A">
        <w:t>Who is most at risk of scalding?</w:t>
      </w:r>
    </w:p>
    <w:p w14:paraId="0BED8054" w14:textId="77777777" w:rsidR="006E259A" w:rsidRPr="006E259A" w:rsidRDefault="006E259A" w:rsidP="006E259A">
      <w:pPr>
        <w:suppressAutoHyphens/>
        <w:spacing w:before="200" w:after="200" w:line="280" w:lineRule="atLeast"/>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risk of scalding is greater for people who may have a reduced reaction time and/or thinner skin thickness. This includes:</w:t>
      </w:r>
    </w:p>
    <w:p w14:paraId="3160CEB7" w14:textId="77777777" w:rsidR="006E259A" w:rsidRPr="006E259A" w:rsidRDefault="006E259A" w:rsidP="006E259A">
      <w:pPr>
        <w:numPr>
          <w:ilvl w:val="0"/>
          <w:numId w:val="28"/>
        </w:numPr>
        <w:suppressAutoHyphens/>
        <w:spacing w:before="200" w:after="200" w:line="280" w:lineRule="atLeast"/>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People with cognitive or physical disabilities including dementia (ABCB 2015; HSE 2012; Mezei 2004)</w:t>
      </w:r>
    </w:p>
    <w:p w14:paraId="69E6FECC" w14:textId="77777777" w:rsidR="006E259A" w:rsidRPr="006E259A" w:rsidRDefault="006E259A" w:rsidP="006E259A">
      <w:pPr>
        <w:numPr>
          <w:ilvl w:val="0"/>
          <w:numId w:val="28"/>
        </w:numPr>
        <w:suppressAutoHyphens/>
        <w:spacing w:before="200" w:after="200" w:line="280" w:lineRule="atLeast"/>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People with peripheral neuropathy (WHO 2018)</w:t>
      </w:r>
    </w:p>
    <w:p w14:paraId="5DC9BA6A" w14:textId="77777777" w:rsidR="006E259A" w:rsidRPr="006E259A" w:rsidRDefault="006E259A" w:rsidP="006E259A">
      <w:pPr>
        <w:numPr>
          <w:ilvl w:val="0"/>
          <w:numId w:val="28"/>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People with epilepsy</w:t>
      </w:r>
    </w:p>
    <w:p w14:paraId="1F015A56" w14:textId="77777777" w:rsidR="006E259A" w:rsidRPr="006E259A" w:rsidRDefault="006E259A" w:rsidP="006E259A">
      <w:pPr>
        <w:numPr>
          <w:ilvl w:val="0"/>
          <w:numId w:val="28"/>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People with a sensory impairment (HSE 2012)</w:t>
      </w:r>
    </w:p>
    <w:p w14:paraId="11F36951" w14:textId="77777777" w:rsidR="006E259A" w:rsidRPr="006E259A" w:rsidRDefault="006E259A" w:rsidP="006E259A">
      <w:pPr>
        <w:numPr>
          <w:ilvl w:val="0"/>
          <w:numId w:val="28"/>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Young children (ABCB 2015; FACS 2019)</w:t>
      </w:r>
    </w:p>
    <w:p w14:paraId="421BF442" w14:textId="77777777" w:rsidR="006E259A" w:rsidRPr="006E259A" w:rsidRDefault="006E259A" w:rsidP="006E259A">
      <w:pPr>
        <w:numPr>
          <w:ilvl w:val="0"/>
          <w:numId w:val="28"/>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Older people or those with reduced mobility (ABCB 2015; Harvey 2016; HSE 2012)</w:t>
      </w:r>
    </w:p>
    <w:p w14:paraId="45766BC8" w14:textId="77777777" w:rsidR="006E259A" w:rsidRPr="006E259A" w:rsidRDefault="006E259A" w:rsidP="00936864">
      <w:pPr>
        <w:pStyle w:val="Heading2"/>
      </w:pPr>
      <w:r w:rsidRPr="006E259A">
        <w:t>What to do if scalding occurs:</w:t>
      </w:r>
    </w:p>
    <w:p w14:paraId="6B11AF65"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Apply cool running water to the site of the scald for 20 minutes (Royal Children’s Hospital 2021)</w:t>
      </w:r>
    </w:p>
    <w:p w14:paraId="2082AA6F"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Do not touch the burn</w:t>
      </w:r>
    </w:p>
    <w:p w14:paraId="4FD117CD"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Do not apply any lotions or ice to the area</w:t>
      </w:r>
    </w:p>
    <w:p w14:paraId="238AE526"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Remove any clothing or jewellery near the scald (ACI 2019; HealthDirect 2021; St John Ambulance 2020)</w:t>
      </w:r>
    </w:p>
    <w:p w14:paraId="228595D5" w14:textId="77777777" w:rsidR="006E259A" w:rsidRPr="00936864" w:rsidRDefault="006E259A" w:rsidP="00936864">
      <w:pPr>
        <w:pStyle w:val="Heading2"/>
      </w:pPr>
      <w:r w:rsidRPr="00936864">
        <w:t>Call an ambulance if:</w:t>
      </w:r>
    </w:p>
    <w:p w14:paraId="79D1DA9A"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burn/scald is larger than a 20 cent piece</w:t>
      </w:r>
    </w:p>
    <w:p w14:paraId="02BC3811"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burn is deep</w:t>
      </w:r>
    </w:p>
    <w:p w14:paraId="09BF89DE"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burn has blisters, pus or discharge (Sepsis Alliance 2022)</w:t>
      </w:r>
    </w:p>
    <w:p w14:paraId="1418CB24"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skin appears leathery</w:t>
      </w:r>
    </w:p>
    <w:p w14:paraId="1635E51C"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burn is to the face, airways, hands or genitals</w:t>
      </w:r>
    </w:p>
    <w:p w14:paraId="2CA320E0"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There are patches of brown, black or white</w:t>
      </w:r>
    </w:p>
    <w:p w14:paraId="09310E54"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person also has a fever (Sepsis Alliance 2022)</w:t>
      </w:r>
    </w:p>
    <w:p w14:paraId="39FF5949" w14:textId="77777777" w:rsidR="006E259A" w:rsidRPr="006E259A" w:rsidRDefault="006E259A" w:rsidP="006E259A">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The person is having trouble breathing (ACI 2019; HealthDirect 2021; Royal Children’s Hospital 2021)</w:t>
      </w:r>
    </w:p>
    <w:p w14:paraId="229BAC96" w14:textId="77777777" w:rsidR="005501E9" w:rsidRDefault="005501E9" w:rsidP="005501E9">
      <w:pPr>
        <w:pStyle w:val="Heading2"/>
        <w:spacing w:line="276" w:lineRule="auto"/>
      </w:pPr>
      <w:r>
        <w:lastRenderedPageBreak/>
        <w:t>Preventing scalds: hot water standards</w:t>
      </w:r>
    </w:p>
    <w:p w14:paraId="4938AC24" w14:textId="77777777" w:rsidR="005501E9" w:rsidRPr="001B0035" w:rsidRDefault="005501E9" w:rsidP="00220A6C">
      <w:pPr>
        <w:pStyle w:val="NormalWeb"/>
        <w:spacing w:line="276" w:lineRule="auto"/>
        <w:rPr>
          <w:rFonts w:asciiTheme="majorHAnsi" w:hAnsiTheme="majorHAnsi" w:cstheme="majorHAnsi"/>
          <w:sz w:val="22"/>
          <w:szCs w:val="22"/>
        </w:rPr>
      </w:pPr>
      <w:r w:rsidRPr="001B0035">
        <w:rPr>
          <w:rFonts w:asciiTheme="majorHAnsi" w:hAnsiTheme="majorHAnsi" w:cstheme="majorHAnsi"/>
          <w:sz w:val="22"/>
          <w:szCs w:val="22"/>
        </w:rPr>
        <w:t xml:space="preserve">Because of the risks of hot water to staff and participants, the </w:t>
      </w:r>
      <w:hyperlink r:id="rId9" w:history="1">
        <w:r w:rsidRPr="001B0035">
          <w:rPr>
            <w:rStyle w:val="Hyperlink"/>
            <w:rFonts w:asciiTheme="majorHAnsi" w:hAnsiTheme="majorHAnsi" w:cstheme="majorHAnsi"/>
            <w:sz w:val="22"/>
            <w:szCs w:val="22"/>
          </w:rPr>
          <w:t>Australian Standards</w:t>
        </w:r>
      </w:hyperlink>
      <w:r w:rsidRPr="001B0035">
        <w:rPr>
          <w:rFonts w:asciiTheme="majorHAnsi" w:hAnsiTheme="majorHAnsi" w:cstheme="majorHAnsi"/>
          <w:sz w:val="22"/>
          <w:szCs w:val="22"/>
        </w:rPr>
        <w:t xml:space="preserve"> now have regulations for new hot water installations </w:t>
      </w:r>
      <w:r>
        <w:rPr>
          <w:rFonts w:asciiTheme="majorHAnsi" w:hAnsiTheme="majorHAnsi" w:cstheme="majorHAnsi"/>
          <w:sz w:val="22"/>
          <w:szCs w:val="22"/>
        </w:rPr>
        <w:t xml:space="preserve">in facilities </w:t>
      </w:r>
      <w:r w:rsidRPr="001B0035">
        <w:rPr>
          <w:rFonts w:asciiTheme="majorHAnsi" w:hAnsiTheme="majorHAnsi" w:cstheme="majorHAnsi"/>
          <w:sz w:val="22"/>
          <w:szCs w:val="22"/>
        </w:rPr>
        <w:t>where people with disability receive services (</w:t>
      </w:r>
      <w:r w:rsidRPr="001B0035">
        <w:rPr>
          <w:rFonts w:asciiTheme="majorHAnsi" w:eastAsiaTheme="majorEastAsia" w:hAnsiTheme="majorHAnsi" w:cstheme="majorHAnsi"/>
          <w:sz w:val="22"/>
          <w:szCs w:val="22"/>
        </w:rPr>
        <w:t>AS3500.4 1.11</w:t>
      </w:r>
      <w:r w:rsidRPr="001B0035">
        <w:rPr>
          <w:rFonts w:asciiTheme="majorHAnsi" w:hAnsiTheme="majorHAnsi" w:cstheme="majorHAnsi"/>
          <w:sz w:val="22"/>
          <w:szCs w:val="22"/>
        </w:rPr>
        <w:t xml:space="preserve">). The maximum recommended water temperature at fixtures used primarily for personal hygiene purposes is 45°C (Australian Standards 2018), which is the maximum temperature before scalding becomes a serious risk to staff and participants (Queensland Government 2020; South Australian Government 2020). </w:t>
      </w:r>
    </w:p>
    <w:p w14:paraId="4ED0176C" w14:textId="77777777" w:rsidR="005501E9" w:rsidRPr="001B0035" w:rsidRDefault="005501E9" w:rsidP="00220A6C">
      <w:pPr>
        <w:spacing w:line="276" w:lineRule="auto"/>
        <w:rPr>
          <w:u w:val="single"/>
        </w:rPr>
      </w:pPr>
      <w:r w:rsidRPr="001B0035">
        <w:rPr>
          <w:u w:val="single"/>
        </w:rPr>
        <w:t>Temperature control devices</w:t>
      </w:r>
    </w:p>
    <w:p w14:paraId="410CAC06" w14:textId="3C103E15" w:rsidR="006E259A" w:rsidRPr="006E259A" w:rsidRDefault="005501E9" w:rsidP="00220A6C">
      <w:pPr>
        <w:suppressAutoHyphens/>
        <w:spacing w:before="200" w:after="200" w:line="276" w:lineRule="auto"/>
        <w:rPr>
          <w:rFonts w:asciiTheme="minorHAnsi" w:hAnsiTheme="minorHAnsi" w:cstheme="minorBidi"/>
          <w:color w:val="000000" w:themeColor="text1"/>
          <w:szCs w:val="20"/>
        </w:rPr>
      </w:pPr>
      <w:r>
        <w:t>Temperature control devices such as thermostatic mixing valves (TMV) or tempering valves control the output temperature of the water at the tap and can be set to the recommended maximum of 45</w:t>
      </w:r>
      <w:r>
        <w:rPr>
          <w:rFonts w:cs="Arial"/>
        </w:rPr>
        <w:t>°</w:t>
      </w:r>
      <w:r>
        <w:t>C (South Australian Government 2020). Hot water is normally stored at higher temperatures (above 60</w:t>
      </w:r>
      <w:r>
        <w:rPr>
          <w:rFonts w:cs="Arial"/>
        </w:rPr>
        <w:t>°</w:t>
      </w:r>
      <w:r>
        <w:t>C) to avoid certain bacteria (especially Legionella) contaminating the water (ABCB 2015). TMVs or tempering valves reduce the output temperature at the tap, thereby reducing the risk of serious burns (PHAA 2012; Queensland Government 2020).</w:t>
      </w:r>
      <w:r w:rsidR="006E259A" w:rsidRPr="006E259A">
        <w:rPr>
          <w:rFonts w:asciiTheme="minorHAnsi" w:hAnsiTheme="minorHAnsi" w:cstheme="minorBidi"/>
          <w:color w:val="000000" w:themeColor="text1"/>
          <w:szCs w:val="20"/>
        </w:rPr>
        <w:t xml:space="preserve"> </w:t>
      </w:r>
    </w:p>
    <w:p w14:paraId="1E30277E" w14:textId="77777777" w:rsidR="006E259A" w:rsidRPr="006E259A" w:rsidRDefault="006E259A" w:rsidP="00220A6C">
      <w:pPr>
        <w:pStyle w:val="Heading2"/>
        <w:spacing w:before="360"/>
      </w:pPr>
      <w:r w:rsidRPr="006E259A">
        <w:t>To reduce the risk of scalding, providers of Specialist Disability Accommodation should:</w:t>
      </w:r>
    </w:p>
    <w:p w14:paraId="3867C0ED" w14:textId="77777777" w:rsidR="006E259A" w:rsidRPr="006E259A" w:rsidRDefault="006E259A" w:rsidP="00220A6C">
      <w:pPr>
        <w:numPr>
          <w:ilvl w:val="0"/>
          <w:numId w:val="29"/>
        </w:numPr>
        <w:suppressAutoHyphens/>
        <w:spacing w:before="200" w:after="200" w:line="276" w:lineRule="auto"/>
        <w:ind w:left="641" w:hanging="357"/>
        <w:contextualSpacing/>
        <w:rPr>
          <w:rFonts w:asciiTheme="majorHAnsi" w:eastAsia="Times New Roman" w:hAnsiTheme="majorHAnsi" w:cstheme="majorHAnsi"/>
          <w:lang w:eastAsia="en-AU"/>
        </w:rPr>
      </w:pPr>
      <w:r w:rsidRPr="006E259A">
        <w:rPr>
          <w:rFonts w:asciiTheme="majorHAnsi" w:eastAsia="Times New Roman" w:hAnsiTheme="majorHAnsi" w:cstheme="majorHAnsi"/>
          <w:lang w:eastAsia="en-AU"/>
        </w:rPr>
        <w:t xml:space="preserve">Ensure that all </w:t>
      </w:r>
      <w:r w:rsidRPr="006E259A">
        <w:rPr>
          <w:rFonts w:asciiTheme="majorHAnsi" w:eastAsia="Times New Roman" w:hAnsiTheme="majorHAnsi" w:cstheme="majorHAnsi"/>
          <w:b/>
          <w:lang w:eastAsia="en-AU"/>
        </w:rPr>
        <w:t xml:space="preserve">new </w:t>
      </w:r>
      <w:r w:rsidRPr="006E259A">
        <w:rPr>
          <w:rFonts w:asciiTheme="majorHAnsi" w:eastAsia="Times New Roman" w:hAnsiTheme="majorHAnsi" w:cstheme="majorHAnsi"/>
          <w:lang w:eastAsia="en-AU"/>
        </w:rPr>
        <w:t xml:space="preserve">heated water installations use a thermostatic mixing valve or thermostatically controlled tap to deliver hot water not exceeding 45°C at fixtures used primarily for personal hygiene purposes (Australian Standards 2018, </w:t>
      </w:r>
      <w:r w:rsidRPr="006E259A">
        <w:rPr>
          <w:rFonts w:asciiTheme="majorHAnsi" w:eastAsiaTheme="majorEastAsia" w:hAnsiTheme="majorHAnsi" w:cstheme="majorHAnsi"/>
          <w:lang w:eastAsia="en-AU"/>
        </w:rPr>
        <w:t>AS3500.4 1.11</w:t>
      </w:r>
      <w:r w:rsidRPr="006E259A">
        <w:rPr>
          <w:rFonts w:asciiTheme="majorHAnsi" w:eastAsia="Times New Roman" w:hAnsiTheme="majorHAnsi" w:cstheme="majorHAnsi"/>
          <w:lang w:eastAsia="en-AU"/>
        </w:rPr>
        <w:t>)</w:t>
      </w:r>
    </w:p>
    <w:p w14:paraId="7F6107C1" w14:textId="77777777" w:rsidR="006E259A" w:rsidRPr="006E259A" w:rsidRDefault="006E259A" w:rsidP="00220A6C">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rPr>
        <w:t xml:space="preserve">For </w:t>
      </w:r>
      <w:r w:rsidRPr="006E259A">
        <w:rPr>
          <w:rFonts w:asciiTheme="minorHAnsi" w:hAnsiTheme="minorHAnsi" w:cstheme="minorBidi"/>
          <w:b/>
          <w:color w:val="000000" w:themeColor="text1"/>
        </w:rPr>
        <w:t>older</w:t>
      </w:r>
      <w:r w:rsidRPr="006E259A">
        <w:rPr>
          <w:rFonts w:asciiTheme="minorHAnsi" w:hAnsiTheme="minorHAnsi" w:cstheme="minorBidi"/>
          <w:color w:val="000000" w:themeColor="text1"/>
        </w:rPr>
        <w:t xml:space="preserve"> heated water installations, consider installing a temperature control device such as a</w:t>
      </w:r>
      <w:r w:rsidRPr="006E259A">
        <w:rPr>
          <w:rFonts w:asciiTheme="minorHAnsi" w:hAnsiTheme="minorHAnsi" w:cstheme="minorBidi"/>
          <w:color w:val="000000" w:themeColor="text1"/>
          <w:szCs w:val="20"/>
        </w:rPr>
        <w:t xml:space="preserve"> thermostatic mixing valve set to a maximum of 45°C (Queensland Government 1999; South Australian Government 2020; Western Australian Government 2019; WHO 2018)</w:t>
      </w:r>
    </w:p>
    <w:p w14:paraId="48737824" w14:textId="77777777" w:rsidR="006E259A" w:rsidRPr="006E259A" w:rsidRDefault="006E259A" w:rsidP="00220A6C">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Engage a licenced plumber to test and maintain any temperature control devices at least on a yearly basis (ABCB 2015)</w:t>
      </w:r>
    </w:p>
    <w:p w14:paraId="10D4CED4" w14:textId="77777777" w:rsidR="006E259A" w:rsidRPr="006E259A" w:rsidDel="00C62E23" w:rsidRDefault="006E259A" w:rsidP="00220A6C">
      <w:pPr>
        <w:numPr>
          <w:ilvl w:val="0"/>
          <w:numId w:val="29"/>
        </w:numPr>
        <w:suppressAutoHyphens/>
        <w:spacing w:before="200" w:after="200" w:line="276" w:lineRule="auto"/>
        <w:contextualSpacing/>
        <w:rPr>
          <w:rFonts w:asciiTheme="minorHAnsi" w:hAnsiTheme="minorHAnsi" w:cstheme="minorBidi"/>
          <w:color w:val="000000" w:themeColor="text1"/>
          <w:szCs w:val="20"/>
        </w:rPr>
      </w:pPr>
      <w:r w:rsidRPr="006E259A" w:rsidDel="00C62E23">
        <w:rPr>
          <w:rFonts w:asciiTheme="minorHAnsi" w:hAnsiTheme="minorHAnsi" w:cstheme="minorBidi"/>
          <w:color w:val="000000" w:themeColor="text1"/>
          <w:szCs w:val="20"/>
        </w:rPr>
        <w:t>Ensure bathroom fixtures such as shower heads limit maximum water flow (Victorian Government 2000).</w:t>
      </w:r>
    </w:p>
    <w:p w14:paraId="4F0F5502" w14:textId="77777777" w:rsidR="006E259A" w:rsidRPr="006E259A" w:rsidRDefault="006E259A" w:rsidP="00220A6C">
      <w:pPr>
        <w:pStyle w:val="Heading2"/>
        <w:spacing w:before="360"/>
      </w:pPr>
      <w:r w:rsidRPr="006E259A">
        <w:t>Preventing scalds when supporting participants:</w:t>
      </w:r>
    </w:p>
    <w:p w14:paraId="1A3D1E32" w14:textId="77777777" w:rsidR="006E259A" w:rsidRPr="006E259A" w:rsidRDefault="006E259A" w:rsidP="00220A6C">
      <w:pPr>
        <w:suppressAutoHyphens/>
        <w:spacing w:before="200" w:after="200" w:line="276" w:lineRule="auto"/>
        <w:rPr>
          <w:rFonts w:asciiTheme="minorHAnsi" w:hAnsiTheme="minorHAnsi" w:cstheme="minorBidi"/>
          <w:color w:val="000000" w:themeColor="text1"/>
          <w:szCs w:val="20"/>
          <w:u w:val="single"/>
        </w:rPr>
      </w:pPr>
      <w:r w:rsidRPr="006E259A">
        <w:rPr>
          <w:rFonts w:asciiTheme="minorHAnsi" w:hAnsiTheme="minorHAnsi" w:cstheme="minorBidi"/>
          <w:b/>
          <w:color w:val="000000" w:themeColor="text1"/>
          <w:szCs w:val="20"/>
          <w:u w:val="single"/>
        </w:rPr>
        <w:t>All providers</w:t>
      </w:r>
      <w:r w:rsidRPr="006E259A">
        <w:rPr>
          <w:rFonts w:asciiTheme="minorHAnsi" w:hAnsiTheme="minorHAnsi" w:cstheme="minorBidi"/>
          <w:color w:val="000000" w:themeColor="text1"/>
          <w:szCs w:val="20"/>
          <w:u w:val="single"/>
        </w:rPr>
        <w:t xml:space="preserve"> can reduce the risk of scalds in the bathroom by:</w:t>
      </w:r>
    </w:p>
    <w:p w14:paraId="35BC304B" w14:textId="77777777" w:rsidR="006E259A" w:rsidRPr="006E259A" w:rsidRDefault="006E259A" w:rsidP="00220A6C">
      <w:pPr>
        <w:numPr>
          <w:ilvl w:val="0"/>
          <w:numId w:val="30"/>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Always running the cold water in the bath or shower first before the hot water (Epilepsy Action Australia 2020; FACS 2019)</w:t>
      </w:r>
    </w:p>
    <w:p w14:paraId="0F9575B4" w14:textId="77777777" w:rsidR="006E259A" w:rsidRPr="006E259A" w:rsidRDefault="006E259A" w:rsidP="00220A6C">
      <w:pPr>
        <w:numPr>
          <w:ilvl w:val="0"/>
          <w:numId w:val="30"/>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Always checking the temperature of the bath, shower or other hot water before a participant enters the water</w:t>
      </w:r>
    </w:p>
    <w:p w14:paraId="73D146AA" w14:textId="77777777" w:rsidR="006E259A" w:rsidRPr="006E259A" w:rsidRDefault="006E259A" w:rsidP="00220A6C">
      <w:pPr>
        <w:numPr>
          <w:ilvl w:val="0"/>
          <w:numId w:val="30"/>
        </w:numPr>
        <w:suppressAutoHyphens/>
        <w:spacing w:before="200" w:after="200" w:line="276" w:lineRule="auto"/>
        <w:contextualSpacing/>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Not leaving the plug in while a participant showers, if the shower is a combined bath and shower.</w:t>
      </w:r>
    </w:p>
    <w:p w14:paraId="7AD7C651" w14:textId="77777777" w:rsidR="00936864" w:rsidRDefault="00936864">
      <w:pPr>
        <w:spacing w:before="120" w:after="120"/>
        <w:rPr>
          <w:rFonts w:asciiTheme="minorHAnsi" w:hAnsiTheme="minorHAnsi" w:cstheme="minorBidi"/>
          <w:color w:val="000000" w:themeColor="text1"/>
          <w:szCs w:val="20"/>
        </w:rPr>
      </w:pPr>
      <w:r>
        <w:rPr>
          <w:rFonts w:asciiTheme="minorHAnsi" w:hAnsiTheme="minorHAnsi" w:cstheme="minorBidi"/>
          <w:color w:val="000000" w:themeColor="text1"/>
          <w:szCs w:val="20"/>
        </w:rPr>
        <w:br w:type="page"/>
      </w:r>
    </w:p>
    <w:p w14:paraId="57530D4A" w14:textId="7829E8E0" w:rsidR="006E259A" w:rsidRPr="006E259A" w:rsidRDefault="006E259A" w:rsidP="00936864">
      <w:pPr>
        <w:pStyle w:val="Heading2"/>
        <w:rPr>
          <w:sz w:val="26"/>
        </w:rPr>
      </w:pPr>
      <w:r w:rsidRPr="006E259A">
        <w:lastRenderedPageBreak/>
        <w:t>Provider Obligations</w:t>
      </w:r>
    </w:p>
    <w:p w14:paraId="2831B4F6" w14:textId="77777777" w:rsidR="006E259A" w:rsidRPr="006E259A" w:rsidRDefault="006E259A" w:rsidP="00936864">
      <w:pPr>
        <w:pStyle w:val="Heading3"/>
      </w:pPr>
      <w:r w:rsidRPr="006E259A">
        <w:t xml:space="preserve">NDIS Code of Conduct </w:t>
      </w:r>
    </w:p>
    <w:p w14:paraId="15F81C7C" w14:textId="77777777" w:rsidR="006E259A" w:rsidRPr="006E259A" w:rsidRDefault="006E259A" w:rsidP="00220A6C">
      <w:pPr>
        <w:suppressAutoHyphens/>
        <w:autoSpaceDE w:val="0"/>
        <w:autoSpaceDN w:val="0"/>
        <w:adjustRightInd w:val="0"/>
        <w:spacing w:before="120" w:after="120" w:line="276" w:lineRule="auto"/>
        <w:jc w:val="both"/>
        <w:rPr>
          <w:rFonts w:asciiTheme="minorHAnsi" w:hAnsiTheme="minorHAnsi" w:cs="Arial"/>
          <w:color w:val="000000" w:themeColor="text1"/>
          <w:szCs w:val="20"/>
        </w:rPr>
      </w:pPr>
      <w:r w:rsidRPr="006E259A">
        <w:rPr>
          <w:rFonts w:asciiTheme="minorHAnsi" w:hAnsiTheme="minorHAnsi" w:cs="Arial"/>
          <w:color w:val="000000" w:themeColor="text1"/>
          <w:szCs w:val="20"/>
        </w:rPr>
        <w:t xml:space="preserve">NDIS providers and workers must comply with the </w:t>
      </w:r>
      <w:hyperlink r:id="rId10" w:history="1">
        <w:r w:rsidRPr="006E259A">
          <w:rPr>
            <w:rFonts w:asciiTheme="minorHAnsi" w:hAnsiTheme="minorHAnsi" w:cs="Arial"/>
            <w:color w:val="943C84"/>
            <w:szCs w:val="20"/>
            <w:u w:val="single"/>
          </w:rPr>
          <w:t>NDIS Code of Conduct</w:t>
        </w:r>
      </w:hyperlink>
      <w:r w:rsidRPr="006E259A">
        <w:rPr>
          <w:rFonts w:asciiTheme="minorHAnsi" w:hAnsiTheme="minorHAnsi" w:cs="Arial"/>
          <w:color w:val="000000" w:themeColor="text1"/>
          <w:szCs w:val="20"/>
        </w:rPr>
        <w:t xml:space="preserve"> when providing supports or services to NDIS participants.</w:t>
      </w:r>
    </w:p>
    <w:p w14:paraId="6A696FBA" w14:textId="77777777" w:rsidR="006E259A" w:rsidRPr="006E259A" w:rsidRDefault="006E259A" w:rsidP="00220A6C">
      <w:pPr>
        <w:suppressAutoHyphens/>
        <w:autoSpaceDE w:val="0"/>
        <w:autoSpaceDN w:val="0"/>
        <w:adjustRightInd w:val="0"/>
        <w:spacing w:before="120" w:after="120" w:line="276" w:lineRule="auto"/>
        <w:contextualSpacing/>
        <w:jc w:val="both"/>
        <w:rPr>
          <w:rFonts w:asciiTheme="minorHAnsi" w:hAnsiTheme="minorHAnsi" w:cstheme="minorHAnsi"/>
          <w:color w:val="000000"/>
          <w:szCs w:val="20"/>
        </w:rPr>
      </w:pPr>
      <w:r w:rsidRPr="006E259A">
        <w:rPr>
          <w:rFonts w:asciiTheme="minorHAnsi" w:hAnsiTheme="minorHAnsi" w:cstheme="minorHAnsi"/>
          <w:color w:val="000000"/>
          <w:szCs w:val="20"/>
        </w:rPr>
        <w:t>The NDIS Code of Conduct requires all NDIS providers and workers who provide NDIS supports or services to NDIS participants to, among other things:</w:t>
      </w:r>
    </w:p>
    <w:p w14:paraId="69F012A0" w14:textId="77777777" w:rsidR="006E259A" w:rsidRPr="006E259A" w:rsidRDefault="006E259A" w:rsidP="00220A6C">
      <w:pPr>
        <w:numPr>
          <w:ilvl w:val="0"/>
          <w:numId w:val="31"/>
        </w:numPr>
        <w:suppressAutoHyphens/>
        <w:spacing w:before="120" w:after="120" w:line="276" w:lineRule="auto"/>
        <w:contextualSpacing/>
        <w:rPr>
          <w:rFonts w:asciiTheme="minorHAnsi" w:hAnsiTheme="minorHAnsi"/>
          <w:szCs w:val="20"/>
        </w:rPr>
      </w:pPr>
      <w:r w:rsidRPr="006E259A">
        <w:rPr>
          <w:rFonts w:asciiTheme="minorHAnsi" w:hAnsiTheme="minorHAnsi"/>
          <w:color w:val="000000" w:themeColor="text1"/>
          <w:szCs w:val="20"/>
        </w:rPr>
        <w:t>provide supports and services in a safe and competent manner with care and skill; and</w:t>
      </w:r>
    </w:p>
    <w:p w14:paraId="3A077F15" w14:textId="77777777" w:rsidR="006E259A" w:rsidRPr="006E259A" w:rsidRDefault="006E259A" w:rsidP="00220A6C">
      <w:pPr>
        <w:numPr>
          <w:ilvl w:val="0"/>
          <w:numId w:val="31"/>
        </w:numPr>
        <w:suppressAutoHyphens/>
        <w:spacing w:before="120" w:after="120" w:line="276" w:lineRule="auto"/>
        <w:contextualSpacing/>
        <w:rPr>
          <w:rFonts w:asciiTheme="minorHAnsi" w:hAnsiTheme="minorHAnsi"/>
          <w:color w:val="000000" w:themeColor="text1"/>
          <w:szCs w:val="20"/>
        </w:rPr>
      </w:pPr>
      <w:r w:rsidRPr="006E259A">
        <w:rPr>
          <w:rFonts w:asciiTheme="minorHAnsi" w:eastAsia="Times New Roman" w:hAnsiTheme="minorHAnsi"/>
          <w:color w:val="000000" w:themeColor="text1"/>
          <w:szCs w:val="20"/>
        </w:rPr>
        <w:t>promptly take steps to raise and act on concerns about matters that may impact the quality and safety of supports and services provided to people with disability.</w:t>
      </w:r>
    </w:p>
    <w:p w14:paraId="4CA3253D" w14:textId="77777777" w:rsidR="006E259A" w:rsidRPr="00936864" w:rsidRDefault="006E259A" w:rsidP="00936864">
      <w:pPr>
        <w:pStyle w:val="Heading3"/>
      </w:pPr>
      <w:r w:rsidRPr="00936864">
        <w:t xml:space="preserve">NDIS Practice Standards </w:t>
      </w:r>
    </w:p>
    <w:p w14:paraId="29D8827B" w14:textId="115FC1E2" w:rsidR="006E259A" w:rsidRPr="006E259A" w:rsidRDefault="006E259A" w:rsidP="00220A6C">
      <w:pPr>
        <w:suppressAutoHyphens/>
        <w:spacing w:before="120" w:after="120" w:line="276" w:lineRule="auto"/>
        <w:rPr>
          <w:rFonts w:cstheme="minorHAnsi"/>
          <w:color w:val="000000" w:themeColor="text1"/>
          <w:szCs w:val="20"/>
        </w:rPr>
      </w:pPr>
      <w:r w:rsidRPr="006E259A">
        <w:rPr>
          <w:rFonts w:cstheme="minorHAnsi"/>
          <w:color w:val="000000" w:themeColor="text1"/>
          <w:szCs w:val="20"/>
        </w:rPr>
        <w:t xml:space="preserve">If you are a registered NDIS provider, you must comply with </w:t>
      </w:r>
      <w:r w:rsidRPr="006E259A">
        <w:rPr>
          <w:color w:val="000000" w:themeColor="text1"/>
          <w:szCs w:val="20"/>
        </w:rPr>
        <w:t xml:space="preserve">the </w:t>
      </w:r>
      <w:hyperlink r:id="rId11" w:history="1">
        <w:r w:rsidR="005501E9" w:rsidRPr="005501E9">
          <w:rPr>
            <w:color w:val="943C84"/>
            <w:szCs w:val="20"/>
            <w:u w:val="single"/>
          </w:rPr>
          <w:t>NDIS Practice Standards</w:t>
        </w:r>
      </w:hyperlink>
      <w:r w:rsidRPr="006E259A">
        <w:rPr>
          <w:rFonts w:cstheme="minorHAnsi"/>
          <w:color w:val="000000" w:themeColor="text1"/>
          <w:szCs w:val="20"/>
        </w:rPr>
        <w:t xml:space="preserve"> as part of your conditions of registration. The NDIS Practice Standards relate to the delivery of safe, quality supports and services, and the management of risks associated with the supports you provide to NDIS participants.</w:t>
      </w:r>
    </w:p>
    <w:p w14:paraId="7212830B" w14:textId="77777777" w:rsidR="006E259A" w:rsidRPr="006E259A" w:rsidRDefault="006E259A" w:rsidP="00220A6C">
      <w:pPr>
        <w:suppressAutoHyphens/>
        <w:spacing w:before="120" w:after="120" w:line="276" w:lineRule="auto"/>
        <w:rPr>
          <w:rFonts w:eastAsia="Times New Roman" w:cstheme="minorHAnsi"/>
          <w:color w:val="000000"/>
          <w:szCs w:val="20"/>
        </w:rPr>
      </w:pPr>
      <w:r w:rsidRPr="006E259A">
        <w:rPr>
          <w:color w:val="000000" w:themeColor="text1"/>
          <w:szCs w:val="20"/>
        </w:rPr>
        <w:t xml:space="preserve">The NDIS Commission’s guidance on the </w:t>
      </w:r>
      <w:hyperlink r:id="rId12" w:history="1">
        <w:r w:rsidRPr="006E259A">
          <w:rPr>
            <w:color w:val="943C84"/>
            <w:szCs w:val="20"/>
            <w:u w:val="single"/>
          </w:rPr>
          <w:t>NDIS Practice Standards and Quality Indicators</w:t>
        </w:r>
      </w:hyperlink>
      <w:r w:rsidRPr="006E259A">
        <w:rPr>
          <w:color w:val="000000" w:themeColor="text1"/>
          <w:szCs w:val="20"/>
        </w:rPr>
        <w:t xml:space="preserve"> provides a further resource to assist</w:t>
      </w:r>
      <w:r w:rsidRPr="006E259A">
        <w:rPr>
          <w:rFonts w:eastAsia="Times New Roman" w:cstheme="minorHAnsi"/>
          <w:color w:val="000000"/>
          <w:szCs w:val="20"/>
        </w:rPr>
        <w:t xml:space="preserve"> registered NDIS providers to understand their obligations.</w:t>
      </w:r>
    </w:p>
    <w:p w14:paraId="4B3A3F72" w14:textId="77777777" w:rsidR="006E259A" w:rsidRPr="006E259A" w:rsidRDefault="006E259A" w:rsidP="00220A6C">
      <w:pPr>
        <w:suppressAutoHyphens/>
        <w:autoSpaceDE w:val="0"/>
        <w:autoSpaceDN w:val="0"/>
        <w:adjustRightInd w:val="0"/>
        <w:spacing w:before="120" w:after="120" w:line="276" w:lineRule="auto"/>
        <w:contextualSpacing/>
        <w:rPr>
          <w:rFonts w:eastAsia="Times New Roman" w:cstheme="minorHAnsi"/>
          <w:color w:val="000000"/>
          <w:szCs w:val="20"/>
        </w:rPr>
      </w:pPr>
      <w:r w:rsidRPr="006E259A">
        <w:rPr>
          <w:rFonts w:eastAsia="Times New Roman" w:cstheme="minorHAnsi"/>
          <w:color w:val="000000"/>
          <w:szCs w:val="20"/>
        </w:rPr>
        <w:t>The NDIS Practice Standards that are most relevant to this alert include:</w:t>
      </w:r>
    </w:p>
    <w:p w14:paraId="14A0DB66" w14:textId="77777777" w:rsidR="006E259A" w:rsidRPr="006E259A" w:rsidRDefault="006E259A" w:rsidP="00220A6C">
      <w:pPr>
        <w:numPr>
          <w:ilvl w:val="0"/>
          <w:numId w:val="31"/>
        </w:numPr>
        <w:suppressAutoHyphens/>
        <w:spacing w:before="120" w:after="120" w:line="276" w:lineRule="auto"/>
        <w:contextualSpacing/>
        <w:rPr>
          <w:szCs w:val="20"/>
        </w:rPr>
      </w:pPr>
      <w:r w:rsidRPr="006E259A">
        <w:rPr>
          <w:b/>
          <w:bCs/>
          <w:color w:val="000000" w:themeColor="text1"/>
          <w:szCs w:val="20"/>
        </w:rPr>
        <w:t xml:space="preserve">Risk Management: </w:t>
      </w:r>
      <w:r w:rsidRPr="006E259A">
        <w:rPr>
          <w:rFonts w:asciiTheme="minorHAnsi" w:hAnsiTheme="minorHAnsi" w:cstheme="minorHAnsi"/>
          <w:color w:val="000000" w:themeColor="text1"/>
          <w:szCs w:val="20"/>
        </w:rPr>
        <w:t>Risks to the organisation, including risks to participants, financial and work health and safety risks, and risks associated with provision of supports are identified, analysed, prioritised and treated.</w:t>
      </w:r>
      <w:r w:rsidRPr="006E259A">
        <w:rPr>
          <w:rFonts w:asciiTheme="minorHAnsi" w:hAnsiTheme="minorHAnsi" w:cstheme="minorBidi"/>
          <w:color w:val="000000" w:themeColor="text1"/>
          <w:szCs w:val="20"/>
        </w:rPr>
        <w:t xml:space="preserve"> </w:t>
      </w:r>
    </w:p>
    <w:p w14:paraId="7A0D8981" w14:textId="77777777" w:rsidR="006E259A" w:rsidRPr="006E259A" w:rsidRDefault="006E259A" w:rsidP="00220A6C">
      <w:pPr>
        <w:numPr>
          <w:ilvl w:val="0"/>
          <w:numId w:val="31"/>
        </w:numPr>
        <w:suppressAutoHyphens/>
        <w:spacing w:before="120" w:after="120" w:line="276" w:lineRule="auto"/>
        <w:contextualSpacing/>
        <w:rPr>
          <w:bCs/>
          <w:color w:val="000000" w:themeColor="text1"/>
          <w:szCs w:val="20"/>
        </w:rPr>
      </w:pPr>
      <w:r w:rsidRPr="006E259A">
        <w:rPr>
          <w:b/>
          <w:bCs/>
          <w:color w:val="000000" w:themeColor="text1"/>
          <w:szCs w:val="20"/>
        </w:rPr>
        <w:t xml:space="preserve">Incident Management: </w:t>
      </w:r>
      <w:r w:rsidRPr="006E259A">
        <w:rPr>
          <w:bCs/>
          <w:color w:val="000000" w:themeColor="text1"/>
          <w:szCs w:val="20"/>
        </w:rPr>
        <w:t xml:space="preserve">Each participant is safeguarded by the provider’s incident management system, ensuring that incidents are acknowledged, responded to, well-managed and learned from. </w:t>
      </w:r>
    </w:p>
    <w:p w14:paraId="74611591" w14:textId="77777777" w:rsidR="006E259A" w:rsidRPr="006E259A" w:rsidRDefault="006E259A" w:rsidP="00220A6C">
      <w:pPr>
        <w:numPr>
          <w:ilvl w:val="0"/>
          <w:numId w:val="31"/>
        </w:numPr>
        <w:suppressAutoHyphens/>
        <w:spacing w:before="120" w:after="120" w:line="276" w:lineRule="auto"/>
        <w:contextualSpacing/>
        <w:rPr>
          <w:rFonts w:asciiTheme="minorHAnsi" w:hAnsiTheme="minorHAnsi" w:cstheme="minorHAnsi"/>
          <w:bCs/>
          <w:color w:val="000000" w:themeColor="text1"/>
          <w:szCs w:val="20"/>
        </w:rPr>
      </w:pPr>
      <w:r w:rsidRPr="006E259A">
        <w:rPr>
          <w:b/>
          <w:bCs/>
          <w:color w:val="000000" w:themeColor="text1"/>
          <w:szCs w:val="20"/>
        </w:rPr>
        <w:t xml:space="preserve">Emergency and disaster Management: </w:t>
      </w:r>
      <w:r w:rsidRPr="006E259A">
        <w:rPr>
          <w:rFonts w:asciiTheme="minorHAnsi" w:hAnsiTheme="minorHAnsi" w:cstheme="minorHAnsi"/>
          <w:color w:val="000000" w:themeColor="text1"/>
          <w:szCs w:val="20"/>
        </w:rPr>
        <w:t>Emergency and disaster management includes planning that ensures that the risks to the health, safety and wellbeing of participants that may arise in an emergency or disaster are considered and mitigated, and ensures the continuity of supports critical to the health, safety and wellbeing of participants in an emergency or disaster.</w:t>
      </w:r>
    </w:p>
    <w:p w14:paraId="4B8557AF" w14:textId="77777777" w:rsidR="006E259A" w:rsidRPr="006E259A" w:rsidRDefault="006E259A" w:rsidP="004E7B7D">
      <w:pPr>
        <w:pStyle w:val="Heading1"/>
      </w:pPr>
      <w:r w:rsidRPr="006E259A">
        <w:t>Resources</w:t>
      </w:r>
    </w:p>
    <w:p w14:paraId="55819FBA" w14:textId="77777777" w:rsidR="006E259A" w:rsidRPr="006E259A" w:rsidRDefault="00B62DEC" w:rsidP="00220A6C">
      <w:pPr>
        <w:suppressAutoHyphens/>
        <w:spacing w:after="240" w:line="280" w:lineRule="atLeast"/>
        <w:rPr>
          <w:rFonts w:asciiTheme="minorHAnsi" w:hAnsiTheme="minorHAnsi" w:cstheme="minorBidi"/>
          <w:color w:val="000000" w:themeColor="text1"/>
          <w:szCs w:val="20"/>
        </w:rPr>
      </w:pPr>
      <w:hyperlink r:id="rId13" w:history="1">
        <w:r w:rsidR="006E259A" w:rsidRPr="006E259A">
          <w:rPr>
            <w:rFonts w:asciiTheme="minorHAnsi" w:hAnsiTheme="minorHAnsi" w:cstheme="minorBidi"/>
            <w:color w:val="943C84"/>
            <w:szCs w:val="20"/>
            <w:u w:val="single"/>
          </w:rPr>
          <w:t>UNSW Sydney: Consumer Factsheet - Hot water safety in bathrooms</w:t>
        </w:r>
      </w:hyperlink>
      <w:r w:rsidR="006E259A" w:rsidRPr="006E259A">
        <w:rPr>
          <w:rFonts w:asciiTheme="minorHAnsi" w:hAnsiTheme="minorHAnsi" w:cstheme="minorBidi"/>
          <w:color w:val="000000" w:themeColor="text1"/>
          <w:szCs w:val="20"/>
        </w:rPr>
        <w:t xml:space="preserve"> </w:t>
      </w:r>
    </w:p>
    <w:p w14:paraId="68D98386" w14:textId="77777777" w:rsidR="006E259A" w:rsidRPr="006E259A" w:rsidRDefault="00B62DEC" w:rsidP="00220A6C">
      <w:pPr>
        <w:suppressAutoHyphens/>
        <w:spacing w:after="240" w:line="280" w:lineRule="atLeast"/>
        <w:rPr>
          <w:rFonts w:asciiTheme="minorHAnsi" w:hAnsiTheme="minorHAnsi" w:cstheme="minorBidi"/>
          <w:color w:val="000000" w:themeColor="text1"/>
          <w:szCs w:val="20"/>
        </w:rPr>
      </w:pPr>
      <w:hyperlink r:id="rId14" w:history="1">
        <w:r w:rsidR="006E259A" w:rsidRPr="006E259A">
          <w:rPr>
            <w:rFonts w:asciiTheme="minorHAnsi" w:hAnsiTheme="minorHAnsi" w:cstheme="minorBidi"/>
            <w:color w:val="943C84"/>
            <w:szCs w:val="20"/>
            <w:u w:val="single"/>
          </w:rPr>
          <w:t>The Royal Children's Hospital Melbourne: Burns - prevention and first aid</w:t>
        </w:r>
      </w:hyperlink>
      <w:r w:rsidR="006E259A" w:rsidRPr="006E259A">
        <w:rPr>
          <w:rFonts w:asciiTheme="minorHAnsi" w:hAnsiTheme="minorHAnsi" w:cstheme="minorBidi"/>
          <w:color w:val="000000" w:themeColor="text1"/>
          <w:szCs w:val="20"/>
        </w:rPr>
        <w:t xml:space="preserve"> </w:t>
      </w:r>
    </w:p>
    <w:p w14:paraId="7B97AD87" w14:textId="77777777" w:rsidR="006E259A" w:rsidRPr="006E259A" w:rsidRDefault="00B62DEC" w:rsidP="00220A6C">
      <w:pPr>
        <w:suppressAutoHyphens/>
        <w:spacing w:after="240" w:line="280" w:lineRule="atLeast"/>
        <w:rPr>
          <w:rFonts w:asciiTheme="minorHAnsi" w:hAnsiTheme="minorHAnsi" w:cstheme="minorBidi"/>
          <w:color w:val="000000" w:themeColor="text1"/>
          <w:szCs w:val="20"/>
        </w:rPr>
      </w:pPr>
      <w:hyperlink r:id="rId15" w:history="1">
        <w:r w:rsidR="006E259A" w:rsidRPr="006E259A">
          <w:rPr>
            <w:rFonts w:asciiTheme="minorHAnsi" w:hAnsiTheme="minorHAnsi" w:cstheme="minorBidi"/>
            <w:color w:val="943C84"/>
            <w:szCs w:val="20"/>
            <w:u w:val="single"/>
          </w:rPr>
          <w:t>Victorian Building Authority: Hot water safety</w:t>
        </w:r>
      </w:hyperlink>
      <w:r w:rsidR="006E259A" w:rsidRPr="006E259A">
        <w:rPr>
          <w:rFonts w:asciiTheme="minorHAnsi" w:hAnsiTheme="minorHAnsi" w:cstheme="minorBidi"/>
          <w:color w:val="000000" w:themeColor="text1"/>
          <w:szCs w:val="20"/>
        </w:rPr>
        <w:t xml:space="preserve"> </w:t>
      </w:r>
    </w:p>
    <w:p w14:paraId="04E90BEF" w14:textId="77777777" w:rsidR="006E259A" w:rsidRPr="006E259A" w:rsidRDefault="00B62DEC" w:rsidP="00220A6C">
      <w:pPr>
        <w:suppressAutoHyphens/>
        <w:spacing w:after="240" w:line="280" w:lineRule="atLeast"/>
        <w:rPr>
          <w:rFonts w:asciiTheme="minorHAnsi" w:hAnsiTheme="minorHAnsi" w:cstheme="minorBidi"/>
          <w:color w:val="000000" w:themeColor="text1"/>
          <w:szCs w:val="20"/>
        </w:rPr>
      </w:pPr>
      <w:hyperlink r:id="rId16" w:history="1">
        <w:r w:rsidR="006E259A" w:rsidRPr="006E259A">
          <w:rPr>
            <w:rFonts w:asciiTheme="minorHAnsi" w:hAnsiTheme="minorHAnsi" w:cstheme="minorBidi"/>
            <w:color w:val="943C84"/>
            <w:szCs w:val="20"/>
            <w:u w:val="single"/>
          </w:rPr>
          <w:t>Victorian Government Department of Health: Burns and scalds - children</w:t>
        </w:r>
      </w:hyperlink>
      <w:r w:rsidR="006E259A" w:rsidRPr="006E259A">
        <w:rPr>
          <w:rFonts w:asciiTheme="minorHAnsi" w:hAnsiTheme="minorHAnsi" w:cstheme="minorBidi"/>
          <w:color w:val="000000" w:themeColor="text1"/>
          <w:szCs w:val="20"/>
        </w:rPr>
        <w:t xml:space="preserve"> </w:t>
      </w:r>
    </w:p>
    <w:p w14:paraId="4A410B7A" w14:textId="78D2044F" w:rsidR="006E259A" w:rsidRPr="006E259A" w:rsidRDefault="004E7B7D" w:rsidP="004E7B7D">
      <w:pPr>
        <w:pStyle w:val="Heading2"/>
        <w:spacing w:before="360"/>
      </w:pPr>
      <w:r>
        <w:lastRenderedPageBreak/>
        <w:t>References</w:t>
      </w:r>
    </w:p>
    <w:p w14:paraId="3C621279" w14:textId="77777777" w:rsidR="006E259A" w:rsidRPr="006E259A" w:rsidRDefault="006E259A" w:rsidP="006E259A">
      <w:pPr>
        <w:suppressAutoHyphens/>
        <w:spacing w:before="120" w:after="120" w:line="280" w:lineRule="atLeast"/>
        <w:rPr>
          <w:rFonts w:asciiTheme="minorHAnsi" w:hAnsiTheme="minorHAnsi" w:cstheme="minorBidi"/>
          <w:color w:val="000000" w:themeColor="text1"/>
          <w:szCs w:val="20"/>
        </w:rPr>
      </w:pPr>
      <w:r w:rsidRPr="006E259A">
        <w:rPr>
          <w:rFonts w:asciiTheme="minorHAnsi" w:hAnsiTheme="minorHAnsi" w:cstheme="minorBidi"/>
          <w:color w:val="000000" w:themeColor="text1"/>
          <w:szCs w:val="20"/>
        </w:rPr>
        <w:t xml:space="preserve">Agency for Clinical Innovation (NSW Health) 2019. Burn patient management. </w:t>
      </w:r>
      <w:hyperlink r:id="rId17" w:history="1">
        <w:r w:rsidRPr="006E259A">
          <w:rPr>
            <w:rFonts w:asciiTheme="minorHAnsi" w:hAnsiTheme="minorHAnsi" w:cstheme="minorBidi"/>
            <w:color w:val="943C84"/>
            <w:szCs w:val="20"/>
            <w:u w:val="single"/>
          </w:rPr>
          <w:t>https://www.aci.health.nsw.gov.au/__data/assets/pdf_file/0009/250020/Burn-patient-management-guidelines.pdf</w:t>
        </w:r>
      </w:hyperlink>
      <w:r w:rsidRPr="006E259A">
        <w:rPr>
          <w:rFonts w:asciiTheme="minorHAnsi" w:hAnsiTheme="minorHAnsi" w:cstheme="minorBidi"/>
          <w:color w:val="000000" w:themeColor="text1"/>
          <w:szCs w:val="20"/>
        </w:rPr>
        <w:t xml:space="preserve"> </w:t>
      </w:r>
    </w:p>
    <w:p w14:paraId="196B8CEB"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Australian Building Codes Board (ABCB) 2015. Plumbing code development research report: warm water systems. </w:t>
      </w:r>
      <w:hyperlink r:id="rId18" w:history="1">
        <w:r w:rsidRPr="00220A6C">
          <w:rPr>
            <w:rFonts w:asciiTheme="majorHAnsi" w:hAnsiTheme="majorHAnsi" w:cstheme="majorHAnsi"/>
            <w:color w:val="943C84"/>
            <w:szCs w:val="20"/>
            <w:u w:val="single"/>
          </w:rPr>
          <w:t>https://www.abcb.gov.au/sites/default/files/resources/2020/Report-Warm-Water.pdf</w:t>
        </w:r>
      </w:hyperlink>
      <w:r w:rsidRPr="00220A6C">
        <w:rPr>
          <w:rFonts w:asciiTheme="majorHAnsi" w:hAnsiTheme="majorHAnsi" w:cstheme="majorHAnsi"/>
          <w:color w:val="000000" w:themeColor="text1"/>
          <w:szCs w:val="20"/>
        </w:rPr>
        <w:t xml:space="preserve"> </w:t>
      </w:r>
    </w:p>
    <w:p w14:paraId="4E09C87F" w14:textId="0256C7CE"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Australian Standards 2018. AS 3500.4 (1.11) Plumbing and drainage Part 4: heated water services sanitary fixtures delivery temperature   </w:t>
      </w:r>
      <w:hyperlink r:id="rId19" w:history="1">
        <w:r w:rsidRPr="00220A6C">
          <w:rPr>
            <w:rFonts w:asciiTheme="majorHAnsi" w:hAnsiTheme="majorHAnsi" w:cstheme="majorHAnsi"/>
            <w:color w:val="943C84"/>
            <w:szCs w:val="20"/>
            <w:u w:val="single"/>
          </w:rPr>
          <w:t>https://store.standards.org.au/reader/as-nzs-3500-4-2018?preview=1</w:t>
        </w:r>
      </w:hyperlink>
      <w:r w:rsidRPr="00220A6C">
        <w:rPr>
          <w:rFonts w:asciiTheme="majorHAnsi" w:hAnsiTheme="majorHAnsi" w:cstheme="majorHAnsi"/>
          <w:color w:val="000000" w:themeColor="text1"/>
          <w:szCs w:val="20"/>
        </w:rPr>
        <w:t xml:space="preserve"> </w:t>
      </w:r>
    </w:p>
    <w:p w14:paraId="685D81A8" w14:textId="75ED3889"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Burns </w:t>
      </w:r>
      <w:r w:rsidR="00220A6C" w:rsidRPr="00220A6C">
        <w:rPr>
          <w:rFonts w:asciiTheme="majorHAnsi" w:hAnsiTheme="majorHAnsi" w:cstheme="majorHAnsi"/>
          <w:color w:val="000000" w:themeColor="text1"/>
          <w:szCs w:val="20"/>
        </w:rPr>
        <w:t>R</w:t>
      </w:r>
      <w:r w:rsidRPr="00220A6C">
        <w:rPr>
          <w:rFonts w:asciiTheme="majorHAnsi" w:hAnsiTheme="majorHAnsi" w:cstheme="majorHAnsi"/>
          <w:color w:val="000000" w:themeColor="text1"/>
          <w:szCs w:val="20"/>
        </w:rPr>
        <w:t xml:space="preserve">egistry of Australia and New Zealand 2021. Annual report 2019/20. Department of epidemiology and preventative medicin, Monash University. </w:t>
      </w:r>
      <w:hyperlink r:id="rId20" w:history="1">
        <w:r w:rsidRPr="00220A6C">
          <w:rPr>
            <w:rFonts w:asciiTheme="majorHAnsi" w:hAnsiTheme="majorHAnsi" w:cstheme="majorHAnsi"/>
            <w:color w:val="943C84"/>
            <w:szCs w:val="20"/>
            <w:u w:val="single"/>
          </w:rPr>
          <w:t>https://anzba.org.au/assets/BRANZ_AnnualReport_Jul19-Jun20.pdf</w:t>
        </w:r>
      </w:hyperlink>
      <w:r w:rsidRPr="00220A6C">
        <w:rPr>
          <w:rFonts w:asciiTheme="majorHAnsi" w:hAnsiTheme="majorHAnsi" w:cstheme="majorHAnsi"/>
          <w:color w:val="000000" w:themeColor="text1"/>
          <w:szCs w:val="20"/>
        </w:rPr>
        <w:t xml:space="preserve"> </w:t>
      </w:r>
    </w:p>
    <w:p w14:paraId="6643FBD8" w14:textId="5E98D38E"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Epilepsy </w:t>
      </w:r>
      <w:r w:rsidR="00220A6C" w:rsidRPr="00220A6C">
        <w:rPr>
          <w:rFonts w:asciiTheme="majorHAnsi" w:hAnsiTheme="majorHAnsi" w:cstheme="majorHAnsi"/>
          <w:color w:val="000000" w:themeColor="text1"/>
          <w:szCs w:val="20"/>
        </w:rPr>
        <w:t>A</w:t>
      </w:r>
      <w:r w:rsidRPr="00220A6C">
        <w:rPr>
          <w:rFonts w:asciiTheme="majorHAnsi" w:hAnsiTheme="majorHAnsi" w:cstheme="majorHAnsi"/>
          <w:color w:val="000000" w:themeColor="text1"/>
          <w:szCs w:val="20"/>
        </w:rPr>
        <w:t xml:space="preserve">ction Australia (2020). Seizures, safety and injury. </w:t>
      </w:r>
      <w:hyperlink r:id="rId21" w:history="1">
        <w:r w:rsidRPr="00220A6C">
          <w:rPr>
            <w:rFonts w:asciiTheme="majorHAnsi" w:hAnsiTheme="majorHAnsi" w:cstheme="majorHAnsi"/>
            <w:color w:val="943C84"/>
            <w:szCs w:val="20"/>
            <w:u w:val="single"/>
          </w:rPr>
          <w:t>https://www.epilepsy.org.au/epilepsy-and-risk_seizures-and-injury/</w:t>
        </w:r>
      </w:hyperlink>
      <w:r w:rsidRPr="00220A6C">
        <w:rPr>
          <w:rFonts w:asciiTheme="majorHAnsi" w:hAnsiTheme="majorHAnsi" w:cstheme="majorHAnsi"/>
          <w:color w:val="000000" w:themeColor="text1"/>
          <w:szCs w:val="20"/>
        </w:rPr>
        <w:t xml:space="preserve"> </w:t>
      </w:r>
    </w:p>
    <w:p w14:paraId="5BB4CC99" w14:textId="77777777" w:rsidR="005501E9" w:rsidRPr="00220A6C" w:rsidRDefault="005501E9" w:rsidP="005501E9">
      <w:pPr>
        <w:spacing w:before="120" w:after="120"/>
        <w:rPr>
          <w:rFonts w:asciiTheme="majorHAnsi" w:hAnsiTheme="majorHAnsi" w:cstheme="majorHAnsi"/>
        </w:rPr>
      </w:pPr>
      <w:r w:rsidRPr="00220A6C">
        <w:rPr>
          <w:rFonts w:asciiTheme="majorHAnsi" w:hAnsiTheme="majorHAnsi" w:cstheme="majorHAnsi"/>
        </w:rPr>
        <w:t>Forbinake N, Ohandza C, Fai K, Agbor V, Asonglefac B, Aroke D. 2020. Mortality analysis of burns in a developing country: a Cameroonian experience. BMC public health, 20 (1): 1269. Doi 10.1186/s12889-020-09372-3</w:t>
      </w:r>
    </w:p>
    <w:p w14:paraId="76C376F9"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Harvey L, Mitchell R, Brodaty H, Close J. 2016. Dementia: a risk factor for burns in the elderly. Burns, 42(2): 282-90. Doi </w:t>
      </w:r>
      <w:r w:rsidRPr="00220A6C">
        <w:rPr>
          <w:rFonts w:asciiTheme="majorHAnsi" w:hAnsiTheme="majorHAnsi" w:cstheme="majorHAnsi"/>
          <w:color w:val="000000" w:themeColor="text1"/>
          <w:szCs w:val="20"/>
          <w:shd w:val="clear" w:color="auto" w:fill="FFFFFF"/>
        </w:rPr>
        <w:t>10.1016/j.burns.2015.10.023</w:t>
      </w:r>
    </w:p>
    <w:p w14:paraId="43B827D7"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Health and Safety Executive 2012. Managing the risks from hot water and surfaces in health and social care. </w:t>
      </w:r>
      <w:hyperlink r:id="rId22" w:history="1">
        <w:r w:rsidRPr="00220A6C">
          <w:rPr>
            <w:rFonts w:asciiTheme="majorHAnsi" w:hAnsiTheme="majorHAnsi" w:cstheme="majorHAnsi"/>
            <w:color w:val="943C84"/>
            <w:szCs w:val="20"/>
            <w:u w:val="single"/>
          </w:rPr>
          <w:t>https://www.hse.gov.uk/pubns/hsis6.pdf</w:t>
        </w:r>
      </w:hyperlink>
      <w:r w:rsidRPr="00220A6C">
        <w:rPr>
          <w:rFonts w:asciiTheme="majorHAnsi" w:hAnsiTheme="majorHAnsi" w:cstheme="majorHAnsi"/>
          <w:color w:val="000000" w:themeColor="text1"/>
          <w:szCs w:val="20"/>
        </w:rPr>
        <w:t xml:space="preserve"> </w:t>
      </w:r>
    </w:p>
    <w:p w14:paraId="0ADD46D7"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Health Direct 2021. Burns and scalds. </w:t>
      </w:r>
      <w:hyperlink r:id="rId23" w:anchor="what-is" w:history="1">
        <w:r w:rsidRPr="00220A6C">
          <w:rPr>
            <w:rFonts w:asciiTheme="majorHAnsi" w:hAnsiTheme="majorHAnsi" w:cstheme="majorHAnsi"/>
            <w:color w:val="943C84"/>
            <w:szCs w:val="20"/>
            <w:u w:val="single"/>
          </w:rPr>
          <w:t>https://www.healthdirect.gov.au/burns-and-scalds#what-is</w:t>
        </w:r>
      </w:hyperlink>
      <w:r w:rsidRPr="00220A6C">
        <w:rPr>
          <w:rFonts w:asciiTheme="majorHAnsi" w:hAnsiTheme="majorHAnsi" w:cstheme="majorHAnsi"/>
          <w:color w:val="000000" w:themeColor="text1"/>
          <w:szCs w:val="20"/>
        </w:rPr>
        <w:t xml:space="preserve"> </w:t>
      </w:r>
    </w:p>
    <w:p w14:paraId="65F35083"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Mezei R, Stanwick R. 2004. Hot tap water scalds prevention: a case for the power of public health partnerships in affecting regulatory change. Pediatric and child health, 9(3): 153-55.  </w:t>
      </w:r>
    </w:p>
    <w:p w14:paraId="4264AA73"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NSW Government 2019 Family and Community Services. Safety inside and outside the house. </w:t>
      </w:r>
      <w:hyperlink r:id="rId24" w:history="1">
        <w:r w:rsidRPr="00220A6C">
          <w:rPr>
            <w:rFonts w:asciiTheme="majorHAnsi" w:hAnsiTheme="majorHAnsi" w:cstheme="majorHAnsi"/>
            <w:color w:val="943C84"/>
            <w:szCs w:val="20"/>
            <w:u w:val="single"/>
          </w:rPr>
          <w:t>https://www.facs.nsw.gov.au/families/parenting/keeping-children-safe/around-the-house/chapters/at-home</w:t>
        </w:r>
      </w:hyperlink>
      <w:r w:rsidRPr="00220A6C">
        <w:rPr>
          <w:rFonts w:asciiTheme="majorHAnsi" w:hAnsiTheme="majorHAnsi" w:cstheme="majorHAnsi"/>
          <w:color w:val="000000" w:themeColor="text1"/>
          <w:szCs w:val="20"/>
        </w:rPr>
        <w:t xml:space="preserve">  </w:t>
      </w:r>
    </w:p>
    <w:p w14:paraId="2AEBD718"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Public Health Association of Australia 2012. Policy at a glance – hot tap water temperature and scalds policy. </w:t>
      </w:r>
      <w:hyperlink r:id="rId25" w:anchor=":~:text=Decreasing%20the%20temperature%20of%20hot,12" w:history="1">
        <w:r w:rsidRPr="00220A6C">
          <w:rPr>
            <w:rFonts w:asciiTheme="majorHAnsi" w:hAnsiTheme="majorHAnsi" w:cstheme="majorHAnsi"/>
            <w:color w:val="943C84"/>
            <w:szCs w:val="20"/>
            <w:u w:val="single"/>
          </w:rPr>
          <w:t>https://www.phaa.net.au/documents/item/1702#:~:text=Decreasing%20the%20temperature%20of%20hot,12</w:t>
        </w:r>
      </w:hyperlink>
      <w:r w:rsidRPr="00220A6C">
        <w:rPr>
          <w:rFonts w:asciiTheme="majorHAnsi" w:hAnsiTheme="majorHAnsi" w:cstheme="majorHAnsi"/>
          <w:color w:val="000000" w:themeColor="text1"/>
          <w:szCs w:val="20"/>
        </w:rPr>
        <w:t xml:space="preserve">. </w:t>
      </w:r>
    </w:p>
    <w:p w14:paraId="34A77AFA"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Queensland Government 2020 – Requirements for installing temperature control devices – guideline under the plumbing and drainage Act 2018. </w:t>
      </w:r>
      <w:hyperlink r:id="rId26" w:history="1">
        <w:r w:rsidRPr="00220A6C">
          <w:rPr>
            <w:rFonts w:asciiTheme="majorHAnsi" w:hAnsiTheme="majorHAnsi" w:cstheme="majorHAnsi"/>
            <w:color w:val="943C84"/>
            <w:szCs w:val="20"/>
            <w:u w:val="single"/>
          </w:rPr>
          <w:t>https://www.hpw.qld.gov.au/__data/assets/pdf_file/0021/11379/installing-temperature-control-devices.pdf</w:t>
        </w:r>
      </w:hyperlink>
      <w:r w:rsidRPr="00220A6C">
        <w:rPr>
          <w:rFonts w:asciiTheme="majorHAnsi" w:hAnsiTheme="majorHAnsi" w:cstheme="majorHAnsi"/>
          <w:color w:val="000000" w:themeColor="text1"/>
          <w:szCs w:val="20"/>
        </w:rPr>
        <w:t xml:space="preserve"> </w:t>
      </w:r>
    </w:p>
    <w:p w14:paraId="182598B2"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Queensland Government 1999. Design guidelines for Queensland residential aged care facilities. </w:t>
      </w:r>
      <w:hyperlink r:id="rId27" w:history="1">
        <w:r w:rsidRPr="00220A6C">
          <w:rPr>
            <w:rFonts w:asciiTheme="majorHAnsi" w:hAnsiTheme="majorHAnsi" w:cstheme="majorHAnsi"/>
            <w:color w:val="943C84"/>
            <w:szCs w:val="20"/>
            <w:u w:val="single"/>
          </w:rPr>
          <w:t>https://www.health.qld.gov.au/__data/assets/pdf_file/0025/151099/qh-gdl-374-8.pdf</w:t>
        </w:r>
      </w:hyperlink>
      <w:r w:rsidRPr="00220A6C">
        <w:rPr>
          <w:rFonts w:asciiTheme="majorHAnsi" w:hAnsiTheme="majorHAnsi" w:cstheme="majorHAnsi"/>
          <w:color w:val="000000" w:themeColor="text1"/>
          <w:szCs w:val="20"/>
        </w:rPr>
        <w:t xml:space="preserve"> </w:t>
      </w:r>
    </w:p>
    <w:p w14:paraId="755FB044"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Sepsis Alliance 2022. </w:t>
      </w:r>
      <w:hyperlink r:id="rId28" w:history="1">
        <w:r w:rsidRPr="00220A6C">
          <w:rPr>
            <w:rFonts w:asciiTheme="majorHAnsi" w:hAnsiTheme="majorHAnsi" w:cstheme="majorHAnsi"/>
            <w:color w:val="943C84"/>
            <w:szCs w:val="20"/>
            <w:u w:val="single"/>
          </w:rPr>
          <w:t>https://www.sepsis.org/sepsisand/burns/</w:t>
        </w:r>
      </w:hyperlink>
      <w:r w:rsidRPr="00220A6C">
        <w:rPr>
          <w:rFonts w:asciiTheme="majorHAnsi" w:hAnsiTheme="majorHAnsi" w:cstheme="majorHAnsi"/>
          <w:color w:val="000000" w:themeColor="text1"/>
          <w:szCs w:val="20"/>
        </w:rPr>
        <w:t xml:space="preserve"> </w:t>
      </w:r>
    </w:p>
    <w:p w14:paraId="72FA051B"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South Australian Government 2020. Temperature of delivered heated water. </w:t>
      </w:r>
      <w:hyperlink r:id="rId29" w:history="1">
        <w:r w:rsidRPr="00220A6C">
          <w:rPr>
            <w:rFonts w:asciiTheme="majorHAnsi" w:hAnsiTheme="majorHAnsi" w:cstheme="majorHAnsi"/>
            <w:color w:val="943C84"/>
            <w:szCs w:val="20"/>
            <w:u w:val="single"/>
          </w:rPr>
          <w:t>https://www.sa.gov.au/__data/assets/pdf_file/0010/294652/200402-OTR-PAN-Temp-of-delivered-heated-water.pdf</w:t>
        </w:r>
      </w:hyperlink>
      <w:r w:rsidRPr="00220A6C">
        <w:rPr>
          <w:rFonts w:asciiTheme="majorHAnsi" w:hAnsiTheme="majorHAnsi" w:cstheme="majorHAnsi"/>
          <w:color w:val="000000" w:themeColor="text1"/>
          <w:szCs w:val="20"/>
        </w:rPr>
        <w:t xml:space="preserve"> </w:t>
      </w:r>
    </w:p>
    <w:p w14:paraId="7CA2C5EE"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lastRenderedPageBreak/>
        <w:t xml:space="preserve">St John Ambulance 2020. First aid fact sheet burn or scald. </w:t>
      </w:r>
      <w:hyperlink r:id="rId30" w:history="1">
        <w:r w:rsidRPr="00220A6C">
          <w:rPr>
            <w:rFonts w:asciiTheme="majorHAnsi" w:hAnsiTheme="majorHAnsi" w:cstheme="majorHAnsi"/>
            <w:color w:val="943C84"/>
            <w:szCs w:val="20"/>
            <w:u w:val="single"/>
          </w:rPr>
          <w:t>https://stjohn.org.au/assets/uploads/fact%20sheets/english/Fact%20sheets_burn%20or%20scald.pdf</w:t>
        </w:r>
      </w:hyperlink>
      <w:r w:rsidRPr="00220A6C">
        <w:rPr>
          <w:rFonts w:asciiTheme="majorHAnsi" w:hAnsiTheme="majorHAnsi" w:cstheme="majorHAnsi"/>
          <w:color w:val="000000" w:themeColor="text1"/>
          <w:szCs w:val="20"/>
        </w:rPr>
        <w:t xml:space="preserve"> </w:t>
      </w:r>
    </w:p>
    <w:p w14:paraId="0B9035AC" w14:textId="448A9CEB" w:rsidR="006E259A" w:rsidRPr="00220A6C" w:rsidRDefault="005501E9"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Victorian B</w:t>
      </w:r>
      <w:r w:rsidR="006E259A" w:rsidRPr="00220A6C">
        <w:rPr>
          <w:rFonts w:asciiTheme="majorHAnsi" w:hAnsiTheme="majorHAnsi" w:cstheme="majorHAnsi"/>
          <w:color w:val="000000" w:themeColor="text1"/>
          <w:szCs w:val="20"/>
        </w:rPr>
        <w:t xml:space="preserve">uilding </w:t>
      </w:r>
      <w:r w:rsidRPr="00220A6C">
        <w:rPr>
          <w:rFonts w:asciiTheme="majorHAnsi" w:hAnsiTheme="majorHAnsi" w:cstheme="majorHAnsi"/>
          <w:color w:val="000000" w:themeColor="text1"/>
          <w:szCs w:val="20"/>
        </w:rPr>
        <w:t>A</w:t>
      </w:r>
      <w:r w:rsidR="006E259A" w:rsidRPr="00220A6C">
        <w:rPr>
          <w:rFonts w:asciiTheme="majorHAnsi" w:hAnsiTheme="majorHAnsi" w:cstheme="majorHAnsi"/>
          <w:color w:val="000000" w:themeColor="text1"/>
          <w:szCs w:val="20"/>
        </w:rPr>
        <w:t xml:space="preserve">uthority (VBA) 2022. Hot water safety. </w:t>
      </w:r>
      <w:hyperlink r:id="rId31" w:history="1">
        <w:r w:rsidR="006E259A" w:rsidRPr="00220A6C">
          <w:rPr>
            <w:rFonts w:asciiTheme="majorHAnsi" w:hAnsiTheme="majorHAnsi" w:cstheme="majorHAnsi"/>
            <w:color w:val="943C84"/>
            <w:szCs w:val="20"/>
            <w:u w:val="single"/>
          </w:rPr>
          <w:t>https://www.vba.vic.gov.au/consumers/guides/hot-water-safety</w:t>
        </w:r>
      </w:hyperlink>
      <w:r w:rsidR="006E259A" w:rsidRPr="00220A6C">
        <w:rPr>
          <w:rFonts w:asciiTheme="majorHAnsi" w:hAnsiTheme="majorHAnsi" w:cstheme="majorHAnsi"/>
          <w:color w:val="000000" w:themeColor="text1"/>
          <w:szCs w:val="20"/>
        </w:rPr>
        <w:t xml:space="preserve"> </w:t>
      </w:r>
    </w:p>
    <w:p w14:paraId="3667C4DA"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Victorian Government 2000. Aged care residential services generic brief. </w:t>
      </w:r>
      <w:hyperlink r:id="rId32" w:history="1">
        <w:r w:rsidRPr="00220A6C">
          <w:rPr>
            <w:rFonts w:asciiTheme="majorHAnsi" w:hAnsiTheme="majorHAnsi" w:cstheme="majorHAnsi"/>
            <w:color w:val="943C84"/>
            <w:szCs w:val="20"/>
            <w:u w:val="single"/>
          </w:rPr>
          <w:t>https://www.priorityhealthcare.com.au/files/Victorian%20Government%20Aged%20Care%20Brief.pdf</w:t>
        </w:r>
      </w:hyperlink>
      <w:r w:rsidRPr="00220A6C">
        <w:rPr>
          <w:rFonts w:asciiTheme="majorHAnsi" w:hAnsiTheme="majorHAnsi" w:cstheme="majorHAnsi"/>
          <w:color w:val="000000" w:themeColor="text1"/>
          <w:szCs w:val="20"/>
        </w:rPr>
        <w:t xml:space="preserve"> </w:t>
      </w:r>
    </w:p>
    <w:p w14:paraId="45F7AFF8"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Western Australian Government 2019. Department of mines, industry regulation and safety building and energy. Decision regulatory impact statement – reforms to plumbing regulation in Western Australia. </w:t>
      </w:r>
      <w:hyperlink r:id="rId33" w:history="1">
        <w:r w:rsidRPr="00220A6C">
          <w:rPr>
            <w:rFonts w:asciiTheme="majorHAnsi" w:hAnsiTheme="majorHAnsi" w:cstheme="majorHAnsi"/>
            <w:color w:val="943C84"/>
            <w:szCs w:val="20"/>
            <w:u w:val="single"/>
          </w:rPr>
          <w:t>https://www.commerce.wa.gov.au/sites/default/files/atoms/files/plumbers_dris_2019.pdf</w:t>
        </w:r>
      </w:hyperlink>
      <w:r w:rsidRPr="00220A6C">
        <w:rPr>
          <w:rFonts w:asciiTheme="majorHAnsi" w:hAnsiTheme="majorHAnsi" w:cstheme="majorHAnsi"/>
          <w:color w:val="000000" w:themeColor="text1"/>
          <w:szCs w:val="20"/>
        </w:rPr>
        <w:t xml:space="preserve"> </w:t>
      </w:r>
    </w:p>
    <w:p w14:paraId="4A268F97"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Worksafe Queensland 2022. Burns and scalds. </w:t>
      </w:r>
      <w:hyperlink r:id="rId34" w:history="1">
        <w:r w:rsidRPr="00220A6C">
          <w:rPr>
            <w:rFonts w:asciiTheme="majorHAnsi" w:hAnsiTheme="majorHAnsi" w:cstheme="majorHAnsi"/>
            <w:color w:val="943C84"/>
            <w:szCs w:val="20"/>
            <w:u w:val="single"/>
          </w:rPr>
          <w:t>https://www.worksafe.qld.gov.au/safety-and-prevention/hazards/workplace-hazards/dangers-in-your-workplace/burns-and-scalds</w:t>
        </w:r>
      </w:hyperlink>
      <w:r w:rsidRPr="00220A6C">
        <w:rPr>
          <w:rFonts w:asciiTheme="majorHAnsi" w:hAnsiTheme="majorHAnsi" w:cstheme="majorHAnsi"/>
          <w:color w:val="000000" w:themeColor="text1"/>
          <w:szCs w:val="20"/>
        </w:rPr>
        <w:t xml:space="preserve"> </w:t>
      </w:r>
    </w:p>
    <w:p w14:paraId="445F6D2C" w14:textId="77777777" w:rsidR="006E259A" w:rsidRPr="00220A6C" w:rsidRDefault="006E259A" w:rsidP="006E259A">
      <w:pPr>
        <w:suppressAutoHyphens/>
        <w:spacing w:before="120" w:after="120" w:line="280" w:lineRule="atLeast"/>
        <w:rPr>
          <w:rFonts w:asciiTheme="majorHAnsi" w:hAnsiTheme="majorHAnsi" w:cstheme="majorHAnsi"/>
          <w:color w:val="000000" w:themeColor="text1"/>
          <w:szCs w:val="20"/>
        </w:rPr>
      </w:pPr>
      <w:r w:rsidRPr="00220A6C">
        <w:rPr>
          <w:rFonts w:asciiTheme="majorHAnsi" w:hAnsiTheme="majorHAnsi" w:cstheme="majorHAnsi"/>
          <w:color w:val="000000" w:themeColor="text1"/>
          <w:szCs w:val="20"/>
        </w:rPr>
        <w:t xml:space="preserve">World Health Organisation 2018. Burns. </w:t>
      </w:r>
      <w:hyperlink r:id="rId35" w:history="1">
        <w:r w:rsidRPr="00220A6C">
          <w:rPr>
            <w:rFonts w:asciiTheme="majorHAnsi" w:hAnsiTheme="majorHAnsi" w:cstheme="majorHAnsi"/>
            <w:color w:val="943C84"/>
            <w:szCs w:val="20"/>
            <w:u w:val="single"/>
          </w:rPr>
          <w:t>https://www.who.int/news-room/fact-sheets/detail/burns</w:t>
        </w:r>
      </w:hyperlink>
      <w:r w:rsidRPr="00220A6C">
        <w:rPr>
          <w:rFonts w:asciiTheme="majorHAnsi" w:hAnsiTheme="majorHAnsi" w:cstheme="majorHAnsi"/>
          <w:color w:val="000000" w:themeColor="text1"/>
          <w:szCs w:val="20"/>
        </w:rPr>
        <w:t xml:space="preserve"> </w:t>
      </w:r>
    </w:p>
    <w:p w14:paraId="1BEBF83E" w14:textId="6297BA87" w:rsidR="006E259A" w:rsidRPr="00220A6C" w:rsidRDefault="006E259A" w:rsidP="004E7B7D">
      <w:pPr>
        <w:suppressAutoHyphens/>
        <w:spacing w:before="200" w:after="360" w:line="280" w:lineRule="atLeast"/>
        <w:rPr>
          <w:rFonts w:asciiTheme="majorHAnsi" w:hAnsiTheme="majorHAnsi" w:cstheme="majorHAnsi"/>
          <w:color w:val="943C84"/>
          <w:szCs w:val="20"/>
          <w:u w:val="single"/>
        </w:rPr>
      </w:pPr>
      <w:r w:rsidRPr="00220A6C">
        <w:rPr>
          <w:rFonts w:asciiTheme="majorHAnsi" w:hAnsiTheme="majorHAnsi" w:cstheme="majorHAnsi"/>
          <w:color w:val="000000" w:themeColor="text1"/>
          <w:szCs w:val="20"/>
        </w:rPr>
        <w:t xml:space="preserve">World Health Organisation 2007. Management of burns. </w:t>
      </w:r>
      <w:hyperlink r:id="rId36" w:history="1">
        <w:r w:rsidRPr="00220A6C">
          <w:rPr>
            <w:rFonts w:asciiTheme="majorHAnsi" w:hAnsiTheme="majorHAnsi" w:cstheme="majorHAnsi"/>
            <w:color w:val="943C84"/>
            <w:szCs w:val="20"/>
            <w:u w:val="single"/>
          </w:rPr>
          <w:t>https://www.who.int/surgery/publications/Burns_management.pdf</w:t>
        </w:r>
      </w:hyperlink>
    </w:p>
    <w:p w14:paraId="64C24A27" w14:textId="77777777" w:rsidR="004E7B7D" w:rsidRPr="008F0C38" w:rsidRDefault="004E7B7D" w:rsidP="004E7B7D">
      <w:pPr>
        <w:pStyle w:val="Heading1"/>
        <w:pBdr>
          <w:top w:val="single" w:sz="36" w:space="1" w:color="5F2E74" w:themeColor="accent1"/>
        </w:pBdr>
        <w:rPr>
          <w:rFonts w:eastAsia="Calibri" w:cs="Calibri"/>
        </w:rPr>
      </w:pPr>
      <w:r w:rsidRPr="008F0C38">
        <w:t>General enquiries</w:t>
      </w:r>
    </w:p>
    <w:p w14:paraId="0CA3A70B" w14:textId="77777777" w:rsidR="004E7B7D" w:rsidRPr="008F0C38" w:rsidRDefault="004E7B7D" w:rsidP="004E7B7D">
      <w:pPr>
        <w:pStyle w:val="Body"/>
        <w:spacing w:after="120" w:line="276" w:lineRule="auto"/>
        <w:ind w:right="-34"/>
        <w:rPr>
          <w:sz w:val="22"/>
          <w:szCs w:val="22"/>
          <w:lang w:val="en-AU"/>
        </w:rPr>
      </w:pPr>
      <w:r w:rsidRPr="008F0C38">
        <w:rPr>
          <w:b/>
          <w:bCs/>
          <w:color w:val="auto"/>
          <w:sz w:val="22"/>
          <w:szCs w:val="22"/>
          <w:lang w:val="en-AU"/>
        </w:rPr>
        <w:t xml:space="preserve">Call: 1800 035 544 </w:t>
      </w:r>
      <w:r w:rsidRPr="008F0C38">
        <w:rPr>
          <w:sz w:val="22"/>
          <w:szCs w:val="22"/>
          <w:lang w:val="en-AU"/>
        </w:rPr>
        <w:t xml:space="preserve">(free call from landlines). Our contact centre is open 9.00am to 5.00pm (9.00am to 4.30pm in the NT) Monday to Friday, excluding public holidays. </w:t>
      </w:r>
    </w:p>
    <w:p w14:paraId="7D4C018C" w14:textId="77777777" w:rsidR="004E7B7D" w:rsidRPr="008F0C38" w:rsidRDefault="004E7B7D" w:rsidP="004E7B7D">
      <w:pPr>
        <w:pStyle w:val="Body"/>
        <w:spacing w:after="120" w:line="276" w:lineRule="auto"/>
        <w:ind w:right="-34"/>
        <w:jc w:val="both"/>
        <w:rPr>
          <w:sz w:val="22"/>
          <w:szCs w:val="22"/>
          <w:lang w:val="en-AU"/>
        </w:rPr>
      </w:pPr>
      <w:r w:rsidRPr="008F0C38">
        <w:rPr>
          <w:b/>
          <w:sz w:val="22"/>
          <w:szCs w:val="22"/>
          <w:lang w:val="en-AU"/>
        </w:rPr>
        <w:t>Email</w:t>
      </w:r>
      <w:r w:rsidRPr="008F0C38">
        <w:rPr>
          <w:sz w:val="22"/>
          <w:szCs w:val="22"/>
          <w:lang w:val="en-AU"/>
        </w:rPr>
        <w:t xml:space="preserve">: </w:t>
      </w:r>
      <w:hyperlink r:id="rId37" w:history="1">
        <w:r w:rsidRPr="008F0C38">
          <w:rPr>
            <w:rStyle w:val="Hyperlink"/>
            <w:sz w:val="22"/>
            <w:szCs w:val="22"/>
            <w:lang w:val="en-AU"/>
          </w:rPr>
          <w:t>contactcentre@ndiscommission.gov.au</w:t>
        </w:r>
      </w:hyperlink>
      <w:r w:rsidRPr="008F0C38">
        <w:rPr>
          <w:sz w:val="22"/>
          <w:szCs w:val="22"/>
          <w:lang w:val="en-AU"/>
        </w:rPr>
        <w:t xml:space="preserve"> </w:t>
      </w:r>
    </w:p>
    <w:p w14:paraId="67E44CAC" w14:textId="77777777" w:rsidR="004E7B7D" w:rsidRPr="008F0C38" w:rsidRDefault="004E7B7D" w:rsidP="004E7B7D">
      <w:pPr>
        <w:pStyle w:val="Body"/>
        <w:spacing w:after="120" w:line="276" w:lineRule="auto"/>
        <w:ind w:right="-34"/>
        <w:jc w:val="both"/>
        <w:rPr>
          <w:lang w:val="en-AU"/>
        </w:rPr>
      </w:pPr>
      <w:r w:rsidRPr="008F0C38">
        <w:rPr>
          <w:b/>
          <w:sz w:val="22"/>
          <w:szCs w:val="22"/>
          <w:lang w:val="en-AU"/>
        </w:rPr>
        <w:t>Website</w:t>
      </w:r>
      <w:r w:rsidRPr="008F0C38">
        <w:rPr>
          <w:sz w:val="22"/>
          <w:szCs w:val="22"/>
          <w:lang w:val="en-AU"/>
        </w:rPr>
        <w:t xml:space="preserve">: </w:t>
      </w:r>
      <w:hyperlink r:id="rId38" w:history="1">
        <w:r w:rsidRPr="008F0C38">
          <w:rPr>
            <w:rStyle w:val="Hyperlink"/>
            <w:sz w:val="22"/>
            <w:szCs w:val="22"/>
            <w:lang w:val="en-AU"/>
          </w:rPr>
          <w:t>www.ndiscommission.gov.au</w:t>
        </w:r>
      </w:hyperlink>
    </w:p>
    <w:sectPr w:rsidR="004E7B7D" w:rsidRPr="008F0C38" w:rsidSect="00362AB6">
      <w:headerReference w:type="default" r:id="rId39"/>
      <w:footerReference w:type="default" r:id="rId40"/>
      <w:headerReference w:type="first" r:id="rId41"/>
      <w:footerReference w:type="first" r:id="rId42"/>
      <w:type w:val="continuous"/>
      <w:pgSz w:w="11906" w:h="16838" w:code="9"/>
      <w:pgMar w:top="1440" w:right="1440" w:bottom="1440" w:left="1440" w:header="284" w:footer="397" w:gutter="0"/>
      <w:cols w:space="340"/>
      <w:titlePg/>
      <w:docGrid w:linePitch="360"/>
      <w15:footnoteColumns w:val="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E76C91" w16cex:dateUtc="2020-07-05T22:37:43.616Z"/>
</w16cex:commentsExtensible>
</file>

<file path=word/commentsIds.xml><?xml version="1.0" encoding="utf-8"?>
<w16cid:commentsIds xmlns:mc="http://schemas.openxmlformats.org/markup-compatibility/2006" xmlns:w16cid="http://schemas.microsoft.com/office/word/2016/wordml/cid" mc:Ignorable="w16cid">
  <w16cid:commentId w16cid:paraId="31B7E47C" w16cid:durableId="0F23514D"/>
  <w16cid:commentId w16cid:paraId="0A3BB325" w16cid:durableId="045F3DAA"/>
  <w16cid:commentId w16cid:paraId="7FE09D27" w16cid:durableId="4EC4AF3A"/>
  <w16cid:commentId w16cid:paraId="31881FB8" w16cid:durableId="51A57F26"/>
  <w16cid:commentId w16cid:paraId="4E35A4BE" w16cid:durableId="6495E461"/>
  <w16cid:commentId w16cid:paraId="7AFDF120" w16cid:durableId="5D8CB951"/>
  <w16cid:commentId w16cid:paraId="672FE013" w16cid:durableId="4621140B"/>
  <w16cid:commentId w16cid:paraId="7E4F6512" w16cid:durableId="4454148A"/>
  <w16cid:commentId w16cid:paraId="58FFFFCA" w16cid:durableId="5EB35101"/>
  <w16cid:commentId w16cid:paraId="1643C60A" w16cid:durableId="2C2963BF"/>
  <w16cid:commentId w16cid:paraId="20C1E157" w16cid:durableId="6AFA94A2"/>
  <w16cid:commentId w16cid:paraId="6B77BC3F" w16cid:durableId="09CABDA2"/>
  <w16cid:commentId w16cid:paraId="09186E1C" w16cid:durableId="5A5B7D2A"/>
  <w16cid:commentId w16cid:paraId="1D84AD48" w16cid:durableId="5BF8D26A"/>
  <w16cid:commentId w16cid:paraId="23A5F58E" w16cid:durableId="2098C9D8"/>
  <w16cid:commentId w16cid:paraId="3249394B" w16cid:durableId="3C4DFBC6"/>
  <w16cid:commentId w16cid:paraId="71BB7595" w16cid:durableId="6215CB20"/>
  <w16cid:commentId w16cid:paraId="5BC9CBB9" w16cid:durableId="52C60E56"/>
  <w16cid:commentId w16cid:paraId="13CD0ECB" w16cid:durableId="358C58AA"/>
  <w16cid:commentId w16cid:paraId="14660751" w16cid:durableId="4B0A77D7"/>
  <w16cid:commentId w16cid:paraId="3CBD3D51" w16cid:durableId="3898BC13"/>
  <w16cid:commentId w16cid:paraId="417806D2" w16cid:durableId="687A714D"/>
  <w16cid:commentId w16cid:paraId="63C562A3" w16cid:durableId="56D31746"/>
  <w16cid:commentId w16cid:paraId="216BD0C2" w16cid:durableId="0BE18A37"/>
  <w16cid:commentId w16cid:paraId="47FE8417" w16cid:durableId="6757FA3A"/>
  <w16cid:commentId w16cid:paraId="2F4AD7AD" w16cid:durableId="4B96F2FA"/>
  <w16cid:commentId w16cid:paraId="19539ACB" w16cid:durableId="2932A22D"/>
  <w16cid:commentId w16cid:paraId="07462651" w16cid:durableId="6DE76C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5FF3C" w14:textId="77777777" w:rsidR="00951325" w:rsidRDefault="00951325" w:rsidP="008E21DE">
      <w:r>
        <w:separator/>
      </w:r>
    </w:p>
  </w:endnote>
  <w:endnote w:type="continuationSeparator" w:id="0">
    <w:p w14:paraId="13AF158C" w14:textId="77777777" w:rsidR="00951325" w:rsidRDefault="00951325"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2E37" w14:textId="2BF613C9" w:rsidR="00000A69" w:rsidRPr="00080615" w:rsidRDefault="009359E9" w:rsidP="009359E9">
    <w:pPr>
      <w:pStyle w:val="Footer"/>
      <w:pBdr>
        <w:top w:val="single" w:sz="4" w:space="1" w:color="auto"/>
      </w:pBdr>
      <w:jc w:val="both"/>
    </w:pPr>
    <w:r>
      <w:t xml:space="preserve">Practice Alert: </w:t>
    </w:r>
    <w:r w:rsidR="005501E9">
      <w:t>Hot water safety</w:t>
    </w:r>
    <w:r w:rsidR="00000A69">
      <w:tab/>
    </w:r>
    <w:r w:rsidR="005501E9">
      <w:tab/>
    </w:r>
    <w:r>
      <w:t xml:space="preserve">Page </w:t>
    </w:r>
    <w:r w:rsidR="00000A69">
      <w:fldChar w:fldCharType="begin"/>
    </w:r>
    <w:r w:rsidR="00000A69">
      <w:instrText xml:space="preserve"> PAGE   \* MERGEFORMAT </w:instrText>
    </w:r>
    <w:r w:rsidR="00000A69">
      <w:fldChar w:fldCharType="separate"/>
    </w:r>
    <w:r w:rsidR="00B62DEC">
      <w:rPr>
        <w:noProof/>
      </w:rPr>
      <w:t>6</w:t>
    </w:r>
    <w:r w:rsidR="00000A6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6DE7" w14:textId="1EAC0182" w:rsidR="00000A69" w:rsidRDefault="00000A69" w:rsidP="00715CAE">
    <w:pPr>
      <w:pStyle w:val="Footer"/>
      <w:jc w:val="right"/>
      <w:rPr>
        <w:sz w:val="18"/>
        <w:szCs w:val="18"/>
      </w:rPr>
    </w:pPr>
  </w:p>
  <w:p w14:paraId="3665FA48" w14:textId="7B45B937" w:rsidR="00000A69" w:rsidRPr="00080615" w:rsidRDefault="009359E9" w:rsidP="00936864">
    <w:pPr>
      <w:pStyle w:val="Footer"/>
      <w:pBdr>
        <w:top w:val="single" w:sz="4" w:space="1" w:color="auto"/>
      </w:pBdr>
      <w:tabs>
        <w:tab w:val="clear" w:pos="4513"/>
        <w:tab w:val="center" w:pos="8789"/>
      </w:tabs>
      <w:jc w:val="both"/>
    </w:pPr>
    <w:r>
      <w:t xml:space="preserve">Practice Alert: </w:t>
    </w:r>
    <w:r w:rsidR="005501E9">
      <w:t>H</w:t>
    </w:r>
    <w:r w:rsidR="00936864">
      <w:t>ot water safety</w:t>
    </w:r>
    <w:r>
      <w:tab/>
      <w:t xml:space="preserve">Page </w:t>
    </w:r>
    <w:r>
      <w:fldChar w:fldCharType="begin"/>
    </w:r>
    <w:r>
      <w:instrText xml:space="preserve"> PAGE   \* MERGEFORMAT </w:instrText>
    </w:r>
    <w:r>
      <w:fldChar w:fldCharType="separate"/>
    </w:r>
    <w:r w:rsidR="00B62DE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0992" w14:textId="77777777" w:rsidR="00951325" w:rsidRDefault="00951325" w:rsidP="008E21DE">
      <w:r>
        <w:separator/>
      </w:r>
    </w:p>
  </w:footnote>
  <w:footnote w:type="continuationSeparator" w:id="0">
    <w:p w14:paraId="54C38485" w14:textId="77777777" w:rsidR="00951325" w:rsidRDefault="00951325"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AC48" w14:textId="505A318F" w:rsidR="00000A69" w:rsidRDefault="00000A69">
    <w:pPr>
      <w:pStyle w:val="Header"/>
    </w:pPr>
  </w:p>
  <w:p w14:paraId="43060073" w14:textId="77777777" w:rsidR="00000A69" w:rsidRDefault="00000A69">
    <w:pPr>
      <w:pStyle w:val="Header"/>
    </w:pPr>
    <w:r>
      <w:rPr>
        <w:b w:val="0"/>
        <w:bCs/>
        <w:noProof/>
        <w:lang w:eastAsia="en-AU"/>
      </w:rPr>
      <mc:AlternateContent>
        <mc:Choice Requires="wps">
          <w:drawing>
            <wp:inline distT="0" distB="0" distL="0" distR="0" wp14:anchorId="2DBB2290" wp14:editId="7F29B3E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4EC4AF3A">
            <v:rect id="Rectangle 2" style="width:451.55pt;height:5.95pt;visibility:visible;mso-wrap-style:square;mso-left-percent:-10001;mso-top-percent:-10001;mso-position-horizontal:absolute;mso-position-horizontal-relative:char;mso-position-vertical:absolute;mso-position-vertical-relative:line;mso-left-percent:-10001;mso-top-percent:-10001;v-text-anchor:middle" alt="Title: background - Description: background" o:spid="_x0000_s1026" fillcolor="#612c69" stroked="f" strokeweight="1pt" w14:anchorId="43087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B056" w14:textId="4E1744BD" w:rsidR="00000A69" w:rsidRDefault="00000A69">
    <w:pPr>
      <w:pStyle w:val="Header"/>
    </w:pPr>
    <w:r>
      <w:rPr>
        <w:noProof/>
        <w:lang w:eastAsia="en-AU"/>
      </w:rPr>
      <w:ptab w:relativeTo="margin" w:alignment="left" w:leader="none"/>
    </w:r>
    <w:r>
      <w:rPr>
        <w:noProof/>
        <w:lang w:eastAsia="en-AU"/>
      </w:rPr>
      <w:drawing>
        <wp:inline distT="0" distB="0" distL="0" distR="0" wp14:anchorId="480505B1" wp14:editId="03B821C9">
          <wp:extent cx="3404235" cy="1223842"/>
          <wp:effectExtent l="0" t="0" r="5715" b="0"/>
          <wp:docPr id="9" name="Picture 9"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AB3"/>
    <w:multiLevelType w:val="hybridMultilevel"/>
    <w:tmpl w:val="58D66736"/>
    <w:lvl w:ilvl="0" w:tplc="224642D0">
      <w:numFmt w:val="bullet"/>
      <w:lvlText w:val="•"/>
      <w:lvlJc w:val="left"/>
      <w:pPr>
        <w:ind w:left="720" w:hanging="360"/>
      </w:pPr>
      <w:rPr>
        <w:rFonts w:ascii="Calibri" w:eastAsia="Times New Roman"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51F95"/>
    <w:multiLevelType w:val="hybridMultilevel"/>
    <w:tmpl w:val="AD785F08"/>
    <w:lvl w:ilvl="0" w:tplc="C742B548">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E5450"/>
    <w:multiLevelType w:val="hybridMultilevel"/>
    <w:tmpl w:val="869ED0BA"/>
    <w:lvl w:ilvl="0" w:tplc="70C6FF94">
      <w:start w:val="1"/>
      <w:numFmt w:val="bullet"/>
      <w:lvlText w:val=""/>
      <w:lvlJc w:val="left"/>
      <w:pPr>
        <w:ind w:left="720" w:hanging="360"/>
      </w:pPr>
      <w:rPr>
        <w:rFonts w:ascii="Symbol" w:hAnsi="Symbol" w:hint="default"/>
      </w:rPr>
    </w:lvl>
    <w:lvl w:ilvl="1" w:tplc="C742B548">
      <w:start w:val="1"/>
      <w:numFmt w:val="bullet"/>
      <w:lvlText w:val="o"/>
      <w:lvlJc w:val="left"/>
      <w:pPr>
        <w:ind w:left="1440" w:hanging="360"/>
      </w:pPr>
      <w:rPr>
        <w:rFonts w:ascii="Courier New" w:hAnsi="Courier New" w:hint="default"/>
      </w:rPr>
    </w:lvl>
    <w:lvl w:ilvl="2" w:tplc="C742B548">
      <w:start w:val="1"/>
      <w:numFmt w:val="bullet"/>
      <w:lvlText w:val="o"/>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51DF5"/>
    <w:multiLevelType w:val="hybridMultilevel"/>
    <w:tmpl w:val="0EDC6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E14DE7"/>
    <w:multiLevelType w:val="hybridMultilevel"/>
    <w:tmpl w:val="DB24A688"/>
    <w:lvl w:ilvl="0" w:tplc="70C6FF94">
      <w:start w:val="1"/>
      <w:numFmt w:val="bullet"/>
      <w:lvlText w:val=""/>
      <w:lvlJc w:val="left"/>
      <w:pPr>
        <w:ind w:left="720" w:hanging="360"/>
      </w:pPr>
      <w:rPr>
        <w:rFonts w:ascii="Symbol" w:hAnsi="Symbol" w:hint="default"/>
      </w:rPr>
    </w:lvl>
    <w:lvl w:ilvl="1" w:tplc="C742B548">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83C2A"/>
    <w:multiLevelType w:val="hybridMultilevel"/>
    <w:tmpl w:val="B6243944"/>
    <w:lvl w:ilvl="0" w:tplc="35FEC1EC">
      <w:start w:val="1"/>
      <w:numFmt w:val="bullet"/>
      <w:lvlText w:val=""/>
      <w:lvlJc w:val="left"/>
      <w:pPr>
        <w:ind w:left="720" w:hanging="360"/>
      </w:pPr>
      <w:rPr>
        <w:rFonts w:ascii="Symbol" w:hAnsi="Symbol" w:hint="default"/>
        <w:color w:val="962C8B" w:themeColor="accent2"/>
      </w:rPr>
    </w:lvl>
    <w:lvl w:ilvl="1" w:tplc="70805618">
      <w:start w:val="1"/>
      <w:numFmt w:val="bullet"/>
      <w:lvlText w:val="o"/>
      <w:lvlJc w:val="left"/>
      <w:pPr>
        <w:ind w:left="1440" w:hanging="360"/>
      </w:pPr>
      <w:rPr>
        <w:rFonts w:ascii="Courier New" w:hAnsi="Courier New" w:hint="default"/>
      </w:rPr>
    </w:lvl>
    <w:lvl w:ilvl="2" w:tplc="36724254">
      <w:start w:val="1"/>
      <w:numFmt w:val="bullet"/>
      <w:lvlText w:val=""/>
      <w:lvlJc w:val="left"/>
      <w:pPr>
        <w:ind w:left="2160" w:hanging="360"/>
      </w:pPr>
      <w:rPr>
        <w:rFonts w:ascii="Wingdings" w:hAnsi="Wingdings" w:hint="default"/>
      </w:rPr>
    </w:lvl>
    <w:lvl w:ilvl="3" w:tplc="F7786B34">
      <w:start w:val="1"/>
      <w:numFmt w:val="bullet"/>
      <w:lvlText w:val=""/>
      <w:lvlJc w:val="left"/>
      <w:pPr>
        <w:ind w:left="2880" w:hanging="360"/>
      </w:pPr>
      <w:rPr>
        <w:rFonts w:ascii="Symbol" w:hAnsi="Symbol" w:hint="default"/>
      </w:rPr>
    </w:lvl>
    <w:lvl w:ilvl="4" w:tplc="2C30A546">
      <w:start w:val="1"/>
      <w:numFmt w:val="bullet"/>
      <w:lvlText w:val="o"/>
      <w:lvlJc w:val="left"/>
      <w:pPr>
        <w:ind w:left="3600" w:hanging="360"/>
      </w:pPr>
      <w:rPr>
        <w:rFonts w:ascii="Courier New" w:hAnsi="Courier New" w:hint="default"/>
      </w:rPr>
    </w:lvl>
    <w:lvl w:ilvl="5" w:tplc="F16097DC">
      <w:start w:val="1"/>
      <w:numFmt w:val="bullet"/>
      <w:lvlText w:val=""/>
      <w:lvlJc w:val="left"/>
      <w:pPr>
        <w:ind w:left="4320" w:hanging="360"/>
      </w:pPr>
      <w:rPr>
        <w:rFonts w:ascii="Wingdings" w:hAnsi="Wingdings" w:hint="default"/>
      </w:rPr>
    </w:lvl>
    <w:lvl w:ilvl="6" w:tplc="75444554">
      <w:start w:val="1"/>
      <w:numFmt w:val="bullet"/>
      <w:lvlText w:val=""/>
      <w:lvlJc w:val="left"/>
      <w:pPr>
        <w:ind w:left="5040" w:hanging="360"/>
      </w:pPr>
      <w:rPr>
        <w:rFonts w:ascii="Symbol" w:hAnsi="Symbol" w:hint="default"/>
      </w:rPr>
    </w:lvl>
    <w:lvl w:ilvl="7" w:tplc="1E5ADD32">
      <w:start w:val="1"/>
      <w:numFmt w:val="bullet"/>
      <w:lvlText w:val="o"/>
      <w:lvlJc w:val="left"/>
      <w:pPr>
        <w:ind w:left="5760" w:hanging="360"/>
      </w:pPr>
      <w:rPr>
        <w:rFonts w:ascii="Courier New" w:hAnsi="Courier New" w:hint="default"/>
      </w:rPr>
    </w:lvl>
    <w:lvl w:ilvl="8" w:tplc="5B647D60">
      <w:start w:val="1"/>
      <w:numFmt w:val="bullet"/>
      <w:lvlText w:val=""/>
      <w:lvlJc w:val="left"/>
      <w:pPr>
        <w:ind w:left="6480" w:hanging="360"/>
      </w:pPr>
      <w:rPr>
        <w:rFonts w:ascii="Wingdings" w:hAnsi="Wingdings" w:hint="default"/>
      </w:rPr>
    </w:lvl>
  </w:abstractNum>
  <w:abstractNum w:abstractNumId="8" w15:restartNumberingAfterBreak="0">
    <w:nsid w:val="19DC43A6"/>
    <w:multiLevelType w:val="hybridMultilevel"/>
    <w:tmpl w:val="319C7AD6"/>
    <w:lvl w:ilvl="0" w:tplc="F2040758">
      <w:start w:val="3"/>
      <w:numFmt w:val="bullet"/>
      <w:lvlText w:val=""/>
      <w:lvlJc w:val="left"/>
      <w:pPr>
        <w:ind w:left="644" w:hanging="360"/>
      </w:pPr>
      <w:rPr>
        <w:rFonts w:ascii="Symbol" w:eastAsiaTheme="minorHAnsi" w:hAnsi="Symbol" w:cstheme="minorBidi"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9"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1252E25"/>
    <w:multiLevelType w:val="hybridMultilevel"/>
    <w:tmpl w:val="EAA8F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833463"/>
    <w:multiLevelType w:val="hybridMultilevel"/>
    <w:tmpl w:val="076E4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953DFC"/>
    <w:multiLevelType w:val="hybridMultilevel"/>
    <w:tmpl w:val="54C68AA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A633F"/>
    <w:multiLevelType w:val="hybridMultilevel"/>
    <w:tmpl w:val="7D1649EC"/>
    <w:lvl w:ilvl="0" w:tplc="5D469E72">
      <w:start w:val="1"/>
      <w:numFmt w:val="bullet"/>
      <w:lvlText w:val=""/>
      <w:lvlJc w:val="left"/>
      <w:pPr>
        <w:ind w:left="360" w:hanging="360"/>
      </w:pPr>
      <w:rPr>
        <w:rFonts w:ascii="Symbol" w:hAnsi="Symbol" w:hint="default"/>
      </w:rPr>
    </w:lvl>
    <w:lvl w:ilvl="1" w:tplc="11DEB33A">
      <w:start w:val="1"/>
      <w:numFmt w:val="bullet"/>
      <w:lvlText w:val="o"/>
      <w:lvlJc w:val="left"/>
      <w:pPr>
        <w:ind w:left="1080" w:hanging="360"/>
      </w:pPr>
      <w:rPr>
        <w:rFonts w:ascii="Courier New" w:hAnsi="Courier New" w:hint="default"/>
      </w:rPr>
    </w:lvl>
    <w:lvl w:ilvl="2" w:tplc="638080E8">
      <w:start w:val="1"/>
      <w:numFmt w:val="bullet"/>
      <w:lvlText w:val=""/>
      <w:lvlJc w:val="left"/>
      <w:pPr>
        <w:ind w:left="1800" w:hanging="360"/>
      </w:pPr>
      <w:rPr>
        <w:rFonts w:ascii="Wingdings" w:hAnsi="Wingdings" w:hint="default"/>
      </w:rPr>
    </w:lvl>
    <w:lvl w:ilvl="3" w:tplc="E5DA7760">
      <w:start w:val="1"/>
      <w:numFmt w:val="bullet"/>
      <w:lvlText w:val=""/>
      <w:lvlJc w:val="left"/>
      <w:pPr>
        <w:ind w:left="2520" w:hanging="360"/>
      </w:pPr>
      <w:rPr>
        <w:rFonts w:ascii="Symbol" w:hAnsi="Symbol" w:hint="default"/>
      </w:rPr>
    </w:lvl>
    <w:lvl w:ilvl="4" w:tplc="1ABE4EAE">
      <w:start w:val="1"/>
      <w:numFmt w:val="bullet"/>
      <w:lvlText w:val="o"/>
      <w:lvlJc w:val="left"/>
      <w:pPr>
        <w:ind w:left="3240" w:hanging="360"/>
      </w:pPr>
      <w:rPr>
        <w:rFonts w:ascii="Courier New" w:hAnsi="Courier New" w:hint="default"/>
      </w:rPr>
    </w:lvl>
    <w:lvl w:ilvl="5" w:tplc="C764CE8E">
      <w:start w:val="1"/>
      <w:numFmt w:val="bullet"/>
      <w:lvlText w:val=""/>
      <w:lvlJc w:val="left"/>
      <w:pPr>
        <w:ind w:left="3960" w:hanging="360"/>
      </w:pPr>
      <w:rPr>
        <w:rFonts w:ascii="Wingdings" w:hAnsi="Wingdings" w:hint="default"/>
      </w:rPr>
    </w:lvl>
    <w:lvl w:ilvl="6" w:tplc="AE5A45D8">
      <w:start w:val="1"/>
      <w:numFmt w:val="bullet"/>
      <w:lvlText w:val=""/>
      <w:lvlJc w:val="left"/>
      <w:pPr>
        <w:ind w:left="4680" w:hanging="360"/>
      </w:pPr>
      <w:rPr>
        <w:rFonts w:ascii="Symbol" w:hAnsi="Symbol" w:hint="default"/>
      </w:rPr>
    </w:lvl>
    <w:lvl w:ilvl="7" w:tplc="E65041D4">
      <w:start w:val="1"/>
      <w:numFmt w:val="bullet"/>
      <w:lvlText w:val="o"/>
      <w:lvlJc w:val="left"/>
      <w:pPr>
        <w:ind w:left="5400" w:hanging="360"/>
      </w:pPr>
      <w:rPr>
        <w:rFonts w:ascii="Courier New" w:hAnsi="Courier New" w:hint="default"/>
      </w:rPr>
    </w:lvl>
    <w:lvl w:ilvl="8" w:tplc="C99E31F2">
      <w:start w:val="1"/>
      <w:numFmt w:val="bullet"/>
      <w:lvlText w:val=""/>
      <w:lvlJc w:val="left"/>
      <w:pPr>
        <w:ind w:left="6120" w:hanging="360"/>
      </w:pPr>
      <w:rPr>
        <w:rFonts w:ascii="Wingdings" w:hAnsi="Wingdings" w:hint="default"/>
      </w:rPr>
    </w:lvl>
  </w:abstractNum>
  <w:abstractNum w:abstractNumId="16" w15:restartNumberingAfterBreak="0">
    <w:nsid w:val="40675F44"/>
    <w:multiLevelType w:val="hybridMultilevel"/>
    <w:tmpl w:val="DB8E778C"/>
    <w:lvl w:ilvl="0" w:tplc="AD7CF890">
      <w:start w:val="1"/>
      <w:numFmt w:val="bullet"/>
      <w:lvlText w:val=""/>
      <w:lvlJc w:val="left"/>
      <w:pPr>
        <w:ind w:left="720" w:hanging="360"/>
      </w:pPr>
      <w:rPr>
        <w:rFonts w:ascii="Symbol" w:hAnsi="Symbol" w:hint="default"/>
      </w:rPr>
    </w:lvl>
    <w:lvl w:ilvl="1" w:tplc="6BD2C842">
      <w:start w:val="1"/>
      <w:numFmt w:val="bullet"/>
      <w:lvlText w:val="o"/>
      <w:lvlJc w:val="left"/>
      <w:pPr>
        <w:ind w:left="1440" w:hanging="360"/>
      </w:pPr>
      <w:rPr>
        <w:rFonts w:ascii="Courier New" w:hAnsi="Courier New" w:hint="default"/>
      </w:rPr>
    </w:lvl>
    <w:lvl w:ilvl="2" w:tplc="20B051A4">
      <w:start w:val="1"/>
      <w:numFmt w:val="bullet"/>
      <w:lvlText w:val=""/>
      <w:lvlJc w:val="left"/>
      <w:pPr>
        <w:ind w:left="2160" w:hanging="360"/>
      </w:pPr>
      <w:rPr>
        <w:rFonts w:ascii="Wingdings" w:hAnsi="Wingdings" w:hint="default"/>
      </w:rPr>
    </w:lvl>
    <w:lvl w:ilvl="3" w:tplc="88465BA8">
      <w:start w:val="1"/>
      <w:numFmt w:val="bullet"/>
      <w:lvlText w:val=""/>
      <w:lvlJc w:val="left"/>
      <w:pPr>
        <w:ind w:left="2880" w:hanging="360"/>
      </w:pPr>
      <w:rPr>
        <w:rFonts w:ascii="Symbol" w:hAnsi="Symbol" w:hint="default"/>
      </w:rPr>
    </w:lvl>
    <w:lvl w:ilvl="4" w:tplc="988011FC">
      <w:start w:val="1"/>
      <w:numFmt w:val="bullet"/>
      <w:lvlText w:val="o"/>
      <w:lvlJc w:val="left"/>
      <w:pPr>
        <w:ind w:left="3600" w:hanging="360"/>
      </w:pPr>
      <w:rPr>
        <w:rFonts w:ascii="Courier New" w:hAnsi="Courier New" w:hint="default"/>
      </w:rPr>
    </w:lvl>
    <w:lvl w:ilvl="5" w:tplc="7226B84C">
      <w:start w:val="1"/>
      <w:numFmt w:val="bullet"/>
      <w:lvlText w:val=""/>
      <w:lvlJc w:val="left"/>
      <w:pPr>
        <w:ind w:left="4320" w:hanging="360"/>
      </w:pPr>
      <w:rPr>
        <w:rFonts w:ascii="Wingdings" w:hAnsi="Wingdings" w:hint="default"/>
      </w:rPr>
    </w:lvl>
    <w:lvl w:ilvl="6" w:tplc="DE504E2A">
      <w:start w:val="1"/>
      <w:numFmt w:val="bullet"/>
      <w:lvlText w:val=""/>
      <w:lvlJc w:val="left"/>
      <w:pPr>
        <w:ind w:left="5040" w:hanging="360"/>
      </w:pPr>
      <w:rPr>
        <w:rFonts w:ascii="Symbol" w:hAnsi="Symbol" w:hint="default"/>
      </w:rPr>
    </w:lvl>
    <w:lvl w:ilvl="7" w:tplc="1458E27A">
      <w:start w:val="1"/>
      <w:numFmt w:val="bullet"/>
      <w:lvlText w:val="o"/>
      <w:lvlJc w:val="left"/>
      <w:pPr>
        <w:ind w:left="5760" w:hanging="360"/>
      </w:pPr>
      <w:rPr>
        <w:rFonts w:ascii="Courier New" w:hAnsi="Courier New" w:hint="default"/>
      </w:rPr>
    </w:lvl>
    <w:lvl w:ilvl="8" w:tplc="1CB6FABC">
      <w:start w:val="1"/>
      <w:numFmt w:val="bullet"/>
      <w:lvlText w:val=""/>
      <w:lvlJc w:val="left"/>
      <w:pPr>
        <w:ind w:left="6480" w:hanging="360"/>
      </w:pPr>
      <w:rPr>
        <w:rFonts w:ascii="Wingdings" w:hAnsi="Wingdings" w:hint="default"/>
      </w:rPr>
    </w:lvl>
  </w:abstractNum>
  <w:abstractNum w:abstractNumId="1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8" w15:restartNumberingAfterBreak="0">
    <w:nsid w:val="4762341E"/>
    <w:multiLevelType w:val="hybridMultilevel"/>
    <w:tmpl w:val="2898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615703"/>
    <w:multiLevelType w:val="multilevel"/>
    <w:tmpl w:val="803CF862"/>
    <w:numStyleLink w:val="List1Numbered"/>
  </w:abstractNum>
  <w:abstractNum w:abstractNumId="22" w15:restartNumberingAfterBreak="0">
    <w:nsid w:val="5AB400C8"/>
    <w:multiLevelType w:val="hybridMultilevel"/>
    <w:tmpl w:val="496C05C8"/>
    <w:lvl w:ilvl="0" w:tplc="F2040758">
      <w:start w:val="3"/>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7C527D"/>
    <w:multiLevelType w:val="hybridMultilevel"/>
    <w:tmpl w:val="97507A60"/>
    <w:lvl w:ilvl="0" w:tplc="4AAADAAC">
      <w:start w:val="1"/>
      <w:numFmt w:val="bullet"/>
      <w:lvlText w:val=""/>
      <w:lvlJc w:val="left"/>
      <w:pPr>
        <w:ind w:left="720" w:hanging="360"/>
      </w:pPr>
      <w:rPr>
        <w:rFonts w:ascii="Symbol" w:hAnsi="Symbol" w:hint="default"/>
      </w:rPr>
    </w:lvl>
    <w:lvl w:ilvl="1" w:tplc="70805618">
      <w:start w:val="1"/>
      <w:numFmt w:val="bullet"/>
      <w:lvlText w:val="o"/>
      <w:lvlJc w:val="left"/>
      <w:pPr>
        <w:ind w:left="1440" w:hanging="360"/>
      </w:pPr>
      <w:rPr>
        <w:rFonts w:ascii="Courier New" w:hAnsi="Courier New" w:hint="default"/>
      </w:rPr>
    </w:lvl>
    <w:lvl w:ilvl="2" w:tplc="36724254">
      <w:start w:val="1"/>
      <w:numFmt w:val="bullet"/>
      <w:lvlText w:val=""/>
      <w:lvlJc w:val="left"/>
      <w:pPr>
        <w:ind w:left="2160" w:hanging="360"/>
      </w:pPr>
      <w:rPr>
        <w:rFonts w:ascii="Wingdings" w:hAnsi="Wingdings" w:hint="default"/>
      </w:rPr>
    </w:lvl>
    <w:lvl w:ilvl="3" w:tplc="F7786B34">
      <w:start w:val="1"/>
      <w:numFmt w:val="bullet"/>
      <w:lvlText w:val=""/>
      <w:lvlJc w:val="left"/>
      <w:pPr>
        <w:ind w:left="2880" w:hanging="360"/>
      </w:pPr>
      <w:rPr>
        <w:rFonts w:ascii="Symbol" w:hAnsi="Symbol" w:hint="default"/>
      </w:rPr>
    </w:lvl>
    <w:lvl w:ilvl="4" w:tplc="2C30A546">
      <w:start w:val="1"/>
      <w:numFmt w:val="bullet"/>
      <w:lvlText w:val="o"/>
      <w:lvlJc w:val="left"/>
      <w:pPr>
        <w:ind w:left="3600" w:hanging="360"/>
      </w:pPr>
      <w:rPr>
        <w:rFonts w:ascii="Courier New" w:hAnsi="Courier New" w:hint="default"/>
      </w:rPr>
    </w:lvl>
    <w:lvl w:ilvl="5" w:tplc="F16097DC">
      <w:start w:val="1"/>
      <w:numFmt w:val="bullet"/>
      <w:lvlText w:val=""/>
      <w:lvlJc w:val="left"/>
      <w:pPr>
        <w:ind w:left="4320" w:hanging="360"/>
      </w:pPr>
      <w:rPr>
        <w:rFonts w:ascii="Wingdings" w:hAnsi="Wingdings" w:hint="default"/>
      </w:rPr>
    </w:lvl>
    <w:lvl w:ilvl="6" w:tplc="75444554">
      <w:start w:val="1"/>
      <w:numFmt w:val="bullet"/>
      <w:lvlText w:val=""/>
      <w:lvlJc w:val="left"/>
      <w:pPr>
        <w:ind w:left="5040" w:hanging="360"/>
      </w:pPr>
      <w:rPr>
        <w:rFonts w:ascii="Symbol" w:hAnsi="Symbol" w:hint="default"/>
      </w:rPr>
    </w:lvl>
    <w:lvl w:ilvl="7" w:tplc="1E5ADD32">
      <w:start w:val="1"/>
      <w:numFmt w:val="bullet"/>
      <w:lvlText w:val="o"/>
      <w:lvlJc w:val="left"/>
      <w:pPr>
        <w:ind w:left="5760" w:hanging="360"/>
      </w:pPr>
      <w:rPr>
        <w:rFonts w:ascii="Courier New" w:hAnsi="Courier New" w:hint="default"/>
      </w:rPr>
    </w:lvl>
    <w:lvl w:ilvl="8" w:tplc="5B647D60">
      <w:start w:val="1"/>
      <w:numFmt w:val="bullet"/>
      <w:lvlText w:val=""/>
      <w:lvlJc w:val="left"/>
      <w:pPr>
        <w:ind w:left="6480" w:hanging="360"/>
      </w:pPr>
      <w:rPr>
        <w:rFonts w:ascii="Wingdings" w:hAnsi="Wingdings" w:hint="default"/>
      </w:rPr>
    </w:lvl>
  </w:abstractNum>
  <w:abstractNum w:abstractNumId="24" w15:restartNumberingAfterBreak="0">
    <w:nsid w:val="671F69AA"/>
    <w:multiLevelType w:val="hybridMultilevel"/>
    <w:tmpl w:val="F2CC4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4F423B"/>
    <w:multiLevelType w:val="multilevel"/>
    <w:tmpl w:val="4A7CCC2C"/>
    <w:numStyleLink w:val="DefaultBullets"/>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7303629"/>
    <w:multiLevelType w:val="hybridMultilevel"/>
    <w:tmpl w:val="02E433C8"/>
    <w:lvl w:ilvl="0" w:tplc="C5BC657E">
      <w:start w:val="1"/>
      <w:numFmt w:val="bullet"/>
      <w:lvlText w:val=""/>
      <w:lvlJc w:val="left"/>
      <w:pPr>
        <w:ind w:left="720" w:hanging="360"/>
      </w:pPr>
      <w:rPr>
        <w:rFonts w:ascii="Symbol" w:hAnsi="Symbol" w:hint="default"/>
      </w:rPr>
    </w:lvl>
    <w:lvl w:ilvl="1" w:tplc="23748EAE">
      <w:start w:val="1"/>
      <w:numFmt w:val="bullet"/>
      <w:lvlText w:val="o"/>
      <w:lvlJc w:val="left"/>
      <w:pPr>
        <w:ind w:left="1440" w:hanging="360"/>
      </w:pPr>
      <w:rPr>
        <w:rFonts w:ascii="Courier New" w:hAnsi="Courier New" w:hint="default"/>
      </w:rPr>
    </w:lvl>
    <w:lvl w:ilvl="2" w:tplc="3550B514">
      <w:start w:val="1"/>
      <w:numFmt w:val="bullet"/>
      <w:lvlText w:val=""/>
      <w:lvlJc w:val="left"/>
      <w:pPr>
        <w:ind w:left="2160" w:hanging="360"/>
      </w:pPr>
      <w:rPr>
        <w:rFonts w:ascii="Wingdings" w:hAnsi="Wingdings" w:hint="default"/>
      </w:rPr>
    </w:lvl>
    <w:lvl w:ilvl="3" w:tplc="57E0B8B8">
      <w:start w:val="1"/>
      <w:numFmt w:val="bullet"/>
      <w:lvlText w:val=""/>
      <w:lvlJc w:val="left"/>
      <w:pPr>
        <w:ind w:left="2880" w:hanging="360"/>
      </w:pPr>
      <w:rPr>
        <w:rFonts w:ascii="Symbol" w:hAnsi="Symbol" w:hint="default"/>
      </w:rPr>
    </w:lvl>
    <w:lvl w:ilvl="4" w:tplc="F92EE564">
      <w:start w:val="1"/>
      <w:numFmt w:val="bullet"/>
      <w:lvlText w:val="o"/>
      <w:lvlJc w:val="left"/>
      <w:pPr>
        <w:ind w:left="3600" w:hanging="360"/>
      </w:pPr>
      <w:rPr>
        <w:rFonts w:ascii="Courier New" w:hAnsi="Courier New" w:hint="default"/>
      </w:rPr>
    </w:lvl>
    <w:lvl w:ilvl="5" w:tplc="E3A85AB2">
      <w:start w:val="1"/>
      <w:numFmt w:val="bullet"/>
      <w:lvlText w:val=""/>
      <w:lvlJc w:val="left"/>
      <w:pPr>
        <w:ind w:left="4320" w:hanging="360"/>
      </w:pPr>
      <w:rPr>
        <w:rFonts w:ascii="Wingdings" w:hAnsi="Wingdings" w:hint="default"/>
      </w:rPr>
    </w:lvl>
    <w:lvl w:ilvl="6" w:tplc="DE669684">
      <w:start w:val="1"/>
      <w:numFmt w:val="bullet"/>
      <w:lvlText w:val=""/>
      <w:lvlJc w:val="left"/>
      <w:pPr>
        <w:ind w:left="5040" w:hanging="360"/>
      </w:pPr>
      <w:rPr>
        <w:rFonts w:ascii="Symbol" w:hAnsi="Symbol" w:hint="default"/>
      </w:rPr>
    </w:lvl>
    <w:lvl w:ilvl="7" w:tplc="F37C7A74">
      <w:start w:val="1"/>
      <w:numFmt w:val="bullet"/>
      <w:lvlText w:val="o"/>
      <w:lvlJc w:val="left"/>
      <w:pPr>
        <w:ind w:left="5760" w:hanging="360"/>
      </w:pPr>
      <w:rPr>
        <w:rFonts w:ascii="Courier New" w:hAnsi="Courier New" w:hint="default"/>
      </w:rPr>
    </w:lvl>
    <w:lvl w:ilvl="8" w:tplc="5B7AAE3A">
      <w:start w:val="1"/>
      <w:numFmt w:val="bullet"/>
      <w:lvlText w:val=""/>
      <w:lvlJc w:val="left"/>
      <w:pPr>
        <w:ind w:left="6480" w:hanging="360"/>
      </w:pPr>
      <w:rPr>
        <w:rFonts w:ascii="Wingdings" w:hAnsi="Wingdings" w:hint="default"/>
      </w:rPr>
    </w:lvl>
  </w:abstractNum>
  <w:abstractNum w:abstractNumId="28" w15:restartNumberingAfterBreak="0">
    <w:nsid w:val="790B67C4"/>
    <w:multiLevelType w:val="multilevel"/>
    <w:tmpl w:val="FE688822"/>
    <w:numStyleLink w:val="BoxedBullets"/>
  </w:abstractNum>
  <w:abstractNum w:abstractNumId="29" w15:restartNumberingAfterBreak="0">
    <w:nsid w:val="7DC5402A"/>
    <w:multiLevelType w:val="hybridMultilevel"/>
    <w:tmpl w:val="807EF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8"/>
  </w:num>
  <w:num w:numId="4">
    <w:abstractNumId w:val="17"/>
  </w:num>
  <w:num w:numId="5">
    <w:abstractNumId w:val="10"/>
  </w:num>
  <w:num w:numId="6">
    <w:abstractNumId w:val="9"/>
  </w:num>
  <w:num w:numId="7">
    <w:abstractNumId w:val="21"/>
  </w:num>
  <w:num w:numId="8">
    <w:abstractNumId w:val="20"/>
  </w:num>
  <w:num w:numId="9">
    <w:abstractNumId w:val="11"/>
  </w:num>
  <w:num w:numId="10">
    <w:abstractNumId w:val="26"/>
  </w:num>
  <w:num w:numId="11">
    <w:abstractNumId w:val="2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5"/>
  </w:num>
  <w:num w:numId="13">
    <w:abstractNumId w:val="27"/>
  </w:num>
  <w:num w:numId="14">
    <w:abstractNumId w:val="16"/>
  </w:num>
  <w:num w:numId="15">
    <w:abstractNumId w:val="23"/>
  </w:num>
  <w:num w:numId="16">
    <w:abstractNumId w:val="13"/>
  </w:num>
  <w:num w:numId="17">
    <w:abstractNumId w:val="0"/>
  </w:num>
  <w:num w:numId="18">
    <w:abstractNumId w:val="29"/>
  </w:num>
  <w:num w:numId="19">
    <w:abstractNumId w:val="3"/>
  </w:num>
  <w:num w:numId="20">
    <w:abstractNumId w:val="24"/>
  </w:num>
  <w:num w:numId="21">
    <w:abstractNumId w:val="25"/>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22">
    <w:abstractNumId w:val="6"/>
  </w:num>
  <w:num w:numId="23">
    <w:abstractNumId w:val="7"/>
  </w:num>
  <w:num w:numId="24">
    <w:abstractNumId w:val="5"/>
  </w:num>
  <w:num w:numId="25">
    <w:abstractNumId w:val="2"/>
  </w:num>
  <w:num w:numId="26">
    <w:abstractNumId w:val="1"/>
  </w:num>
  <w:num w:numId="27">
    <w:abstractNumId w:val="18"/>
  </w:num>
  <w:num w:numId="28">
    <w:abstractNumId w:val="12"/>
  </w:num>
  <w:num w:numId="29">
    <w:abstractNumId w:val="8"/>
  </w:num>
  <w:num w:numId="30">
    <w:abstractNumId w:val="22"/>
  </w:num>
  <w:num w:numId="31">
    <w:abstractNumId w:val="25"/>
    <w:lvlOverride w:ilvl="0">
      <w:startOverride w:val="1"/>
      <w:lvl w:ilvl="0">
        <w:start w:val="1"/>
        <w:numFmt w:val="bullet"/>
        <w:pStyle w:val="Bullet1"/>
        <w:lvlText w:val=""/>
        <w:lvlJc w:val="left"/>
        <w:pPr>
          <w:ind w:left="284" w:hanging="284"/>
        </w:pPr>
        <w:rPr>
          <w:rFonts w:ascii="Symbol" w:hAnsi="Symbol" w:hint="default"/>
          <w:color w:val="85367B"/>
        </w:rPr>
      </w:lvl>
    </w:lvlOverride>
    <w:lvlOverride w:ilvl="1">
      <w:startOverride w:val="1"/>
      <w:lvl w:ilvl="1">
        <w:start w:val="1"/>
        <w:numFmt w:val="bullet"/>
        <w:pStyle w:val="Bullet2"/>
        <w:lvlText w:val="–"/>
        <w:lvlJc w:val="left"/>
        <w:pPr>
          <w:ind w:left="568" w:hanging="284"/>
        </w:pPr>
        <w:rPr>
          <w:rFonts w:ascii="Arial" w:hAnsi="Arial" w:cs="Times New Roman" w:hint="default"/>
          <w:color w:val="85367B"/>
        </w:rPr>
      </w:lvl>
    </w:lvlOverride>
    <w:lvlOverride w:ilvl="2">
      <w:startOverride w:val="1"/>
      <w:lvl w:ilvl="2">
        <w:start w:val="1"/>
        <w:numFmt w:val="bullet"/>
        <w:pStyle w:val="Bullet3"/>
        <w:lvlText w:val="»"/>
        <w:lvlJc w:val="left"/>
        <w:pPr>
          <w:ind w:left="852" w:hanging="284"/>
        </w:pPr>
        <w:rPr>
          <w:rFonts w:ascii="Arial" w:hAnsi="Arial" w:cs="Times New Roman" w:hint="default"/>
          <w:color w:val="85367B"/>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6"/>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E"/>
    <w:rsid w:val="00000034"/>
    <w:rsid w:val="00000A69"/>
    <w:rsid w:val="00043D08"/>
    <w:rsid w:val="00056D72"/>
    <w:rsid w:val="00060B5C"/>
    <w:rsid w:val="0006366C"/>
    <w:rsid w:val="000721DF"/>
    <w:rsid w:val="00073162"/>
    <w:rsid w:val="00080615"/>
    <w:rsid w:val="000838A9"/>
    <w:rsid w:val="000974C9"/>
    <w:rsid w:val="000A2604"/>
    <w:rsid w:val="000C1BBC"/>
    <w:rsid w:val="000C252F"/>
    <w:rsid w:val="000C5959"/>
    <w:rsid w:val="000C7CE9"/>
    <w:rsid w:val="000D7AA7"/>
    <w:rsid w:val="000E48A1"/>
    <w:rsid w:val="000F3A54"/>
    <w:rsid w:val="000F48FC"/>
    <w:rsid w:val="0010008B"/>
    <w:rsid w:val="001058AC"/>
    <w:rsid w:val="00117E87"/>
    <w:rsid w:val="00157720"/>
    <w:rsid w:val="0016482B"/>
    <w:rsid w:val="00164EB5"/>
    <w:rsid w:val="00175AC0"/>
    <w:rsid w:val="00182709"/>
    <w:rsid w:val="00190BCA"/>
    <w:rsid w:val="001916AA"/>
    <w:rsid w:val="00197591"/>
    <w:rsid w:val="001975E7"/>
    <w:rsid w:val="001A066A"/>
    <w:rsid w:val="001A4048"/>
    <w:rsid w:val="001B233E"/>
    <w:rsid w:val="001C5241"/>
    <w:rsid w:val="001D4196"/>
    <w:rsid w:val="001F54F9"/>
    <w:rsid w:val="00201052"/>
    <w:rsid w:val="00220A6C"/>
    <w:rsid w:val="0022620F"/>
    <w:rsid w:val="00231AAC"/>
    <w:rsid w:val="00250DAB"/>
    <w:rsid w:val="0027344B"/>
    <w:rsid w:val="002804D3"/>
    <w:rsid w:val="00282E8A"/>
    <w:rsid w:val="00284D1A"/>
    <w:rsid w:val="00293890"/>
    <w:rsid w:val="002A0072"/>
    <w:rsid w:val="002D0FE6"/>
    <w:rsid w:val="002D2FF2"/>
    <w:rsid w:val="002D695D"/>
    <w:rsid w:val="002E6D0E"/>
    <w:rsid w:val="0030095B"/>
    <w:rsid w:val="00316DB6"/>
    <w:rsid w:val="00337F72"/>
    <w:rsid w:val="003449A0"/>
    <w:rsid w:val="00344BB0"/>
    <w:rsid w:val="0034598E"/>
    <w:rsid w:val="00362AB6"/>
    <w:rsid w:val="00395DDA"/>
    <w:rsid w:val="003972B2"/>
    <w:rsid w:val="003A6ECC"/>
    <w:rsid w:val="003A764C"/>
    <w:rsid w:val="003C49B9"/>
    <w:rsid w:val="003C7D51"/>
    <w:rsid w:val="003D3533"/>
    <w:rsid w:val="003E70D2"/>
    <w:rsid w:val="003F29B8"/>
    <w:rsid w:val="00407E61"/>
    <w:rsid w:val="004154E2"/>
    <w:rsid w:val="00425001"/>
    <w:rsid w:val="00427EF6"/>
    <w:rsid w:val="00437342"/>
    <w:rsid w:val="00477A13"/>
    <w:rsid w:val="00493DCF"/>
    <w:rsid w:val="0049413C"/>
    <w:rsid w:val="004B2FB5"/>
    <w:rsid w:val="004D4273"/>
    <w:rsid w:val="004D460E"/>
    <w:rsid w:val="004E6EFB"/>
    <w:rsid w:val="004E7B7D"/>
    <w:rsid w:val="004F2C6E"/>
    <w:rsid w:val="004F696B"/>
    <w:rsid w:val="0050020D"/>
    <w:rsid w:val="00521E9C"/>
    <w:rsid w:val="00526DBC"/>
    <w:rsid w:val="00534D53"/>
    <w:rsid w:val="005501E9"/>
    <w:rsid w:val="00572D83"/>
    <w:rsid w:val="00575F25"/>
    <w:rsid w:val="00593C19"/>
    <w:rsid w:val="005978E3"/>
    <w:rsid w:val="005B053D"/>
    <w:rsid w:val="005D05FF"/>
    <w:rsid w:val="00606B46"/>
    <w:rsid w:val="006118B7"/>
    <w:rsid w:val="00625854"/>
    <w:rsid w:val="00641512"/>
    <w:rsid w:val="00651348"/>
    <w:rsid w:val="00672C9E"/>
    <w:rsid w:val="00673DBD"/>
    <w:rsid w:val="00680A20"/>
    <w:rsid w:val="00680F04"/>
    <w:rsid w:val="00693FBE"/>
    <w:rsid w:val="006B2C44"/>
    <w:rsid w:val="006D6D91"/>
    <w:rsid w:val="006E259A"/>
    <w:rsid w:val="00715CAE"/>
    <w:rsid w:val="007168C0"/>
    <w:rsid w:val="007270EB"/>
    <w:rsid w:val="00732399"/>
    <w:rsid w:val="0073767E"/>
    <w:rsid w:val="00741BE9"/>
    <w:rsid w:val="00754943"/>
    <w:rsid w:val="00764424"/>
    <w:rsid w:val="00765384"/>
    <w:rsid w:val="00765AAF"/>
    <w:rsid w:val="0078103B"/>
    <w:rsid w:val="00790399"/>
    <w:rsid w:val="00796561"/>
    <w:rsid w:val="007A5887"/>
    <w:rsid w:val="007B0A73"/>
    <w:rsid w:val="007B2CF5"/>
    <w:rsid w:val="007E4399"/>
    <w:rsid w:val="00844FD8"/>
    <w:rsid w:val="008459B6"/>
    <w:rsid w:val="00846230"/>
    <w:rsid w:val="00846D1B"/>
    <w:rsid w:val="00880F00"/>
    <w:rsid w:val="00884FB3"/>
    <w:rsid w:val="00895DF7"/>
    <w:rsid w:val="008A1D61"/>
    <w:rsid w:val="008A649A"/>
    <w:rsid w:val="008B199B"/>
    <w:rsid w:val="008B7938"/>
    <w:rsid w:val="008D1526"/>
    <w:rsid w:val="008D50DA"/>
    <w:rsid w:val="008E0F30"/>
    <w:rsid w:val="008E21DE"/>
    <w:rsid w:val="008E50AF"/>
    <w:rsid w:val="008F33AB"/>
    <w:rsid w:val="00901A4B"/>
    <w:rsid w:val="0090679C"/>
    <w:rsid w:val="0092679E"/>
    <w:rsid w:val="009359E9"/>
    <w:rsid w:val="00936864"/>
    <w:rsid w:val="00946AF7"/>
    <w:rsid w:val="00951325"/>
    <w:rsid w:val="009539C8"/>
    <w:rsid w:val="00953B8A"/>
    <w:rsid w:val="00957487"/>
    <w:rsid w:val="00967F8B"/>
    <w:rsid w:val="009754FE"/>
    <w:rsid w:val="00994643"/>
    <w:rsid w:val="009B12C8"/>
    <w:rsid w:val="009D06E2"/>
    <w:rsid w:val="009D621F"/>
    <w:rsid w:val="009E5FA8"/>
    <w:rsid w:val="009F4EAA"/>
    <w:rsid w:val="009F740C"/>
    <w:rsid w:val="00A06F5D"/>
    <w:rsid w:val="00A07E4A"/>
    <w:rsid w:val="00A37D9C"/>
    <w:rsid w:val="00A40E7F"/>
    <w:rsid w:val="00A60009"/>
    <w:rsid w:val="00A612E3"/>
    <w:rsid w:val="00A670D3"/>
    <w:rsid w:val="00A755CA"/>
    <w:rsid w:val="00A860DA"/>
    <w:rsid w:val="00A8647C"/>
    <w:rsid w:val="00A932F1"/>
    <w:rsid w:val="00A93AE1"/>
    <w:rsid w:val="00AA094B"/>
    <w:rsid w:val="00AA2EAB"/>
    <w:rsid w:val="00AB12D5"/>
    <w:rsid w:val="00AC08C8"/>
    <w:rsid w:val="00AD0168"/>
    <w:rsid w:val="00AD336C"/>
    <w:rsid w:val="00AD735D"/>
    <w:rsid w:val="00AD7AD7"/>
    <w:rsid w:val="00AE52DE"/>
    <w:rsid w:val="00AF0899"/>
    <w:rsid w:val="00B00348"/>
    <w:rsid w:val="00B21DCB"/>
    <w:rsid w:val="00B25115"/>
    <w:rsid w:val="00B353FA"/>
    <w:rsid w:val="00B42593"/>
    <w:rsid w:val="00B542B3"/>
    <w:rsid w:val="00B603C0"/>
    <w:rsid w:val="00B62DEC"/>
    <w:rsid w:val="00B83AB4"/>
    <w:rsid w:val="00BA4FF9"/>
    <w:rsid w:val="00BB2967"/>
    <w:rsid w:val="00BB2FD0"/>
    <w:rsid w:val="00BB6F8E"/>
    <w:rsid w:val="00BC2180"/>
    <w:rsid w:val="00BC3BA1"/>
    <w:rsid w:val="00BC6F8A"/>
    <w:rsid w:val="00BD0889"/>
    <w:rsid w:val="00BE1DEF"/>
    <w:rsid w:val="00BE7F1E"/>
    <w:rsid w:val="00BF2169"/>
    <w:rsid w:val="00BF463B"/>
    <w:rsid w:val="00BF4F6F"/>
    <w:rsid w:val="00C0421C"/>
    <w:rsid w:val="00C0732B"/>
    <w:rsid w:val="00C10202"/>
    <w:rsid w:val="00C1305C"/>
    <w:rsid w:val="00C17A5F"/>
    <w:rsid w:val="00C21944"/>
    <w:rsid w:val="00C242C7"/>
    <w:rsid w:val="00C2698C"/>
    <w:rsid w:val="00C31B8D"/>
    <w:rsid w:val="00C31EAE"/>
    <w:rsid w:val="00C35CF9"/>
    <w:rsid w:val="00C52C59"/>
    <w:rsid w:val="00C710F9"/>
    <w:rsid w:val="00C73ACC"/>
    <w:rsid w:val="00C87F13"/>
    <w:rsid w:val="00C90DF2"/>
    <w:rsid w:val="00C94D68"/>
    <w:rsid w:val="00CB64BD"/>
    <w:rsid w:val="00CB6D03"/>
    <w:rsid w:val="00CD54D0"/>
    <w:rsid w:val="00D04675"/>
    <w:rsid w:val="00D05C96"/>
    <w:rsid w:val="00D21508"/>
    <w:rsid w:val="00D23537"/>
    <w:rsid w:val="00D240C2"/>
    <w:rsid w:val="00D25236"/>
    <w:rsid w:val="00D27D66"/>
    <w:rsid w:val="00D9727A"/>
    <w:rsid w:val="00DE418A"/>
    <w:rsid w:val="00DF74BA"/>
    <w:rsid w:val="00E01D48"/>
    <w:rsid w:val="00E0370F"/>
    <w:rsid w:val="00E06DAA"/>
    <w:rsid w:val="00E14A3C"/>
    <w:rsid w:val="00E17651"/>
    <w:rsid w:val="00E243C4"/>
    <w:rsid w:val="00E260AC"/>
    <w:rsid w:val="00E40290"/>
    <w:rsid w:val="00E7734F"/>
    <w:rsid w:val="00E829A6"/>
    <w:rsid w:val="00E8311A"/>
    <w:rsid w:val="00ED765A"/>
    <w:rsid w:val="00EE737C"/>
    <w:rsid w:val="00F3209F"/>
    <w:rsid w:val="00F328ED"/>
    <w:rsid w:val="00F34A15"/>
    <w:rsid w:val="00F36173"/>
    <w:rsid w:val="00F41613"/>
    <w:rsid w:val="00F4684A"/>
    <w:rsid w:val="00F5000F"/>
    <w:rsid w:val="00F50728"/>
    <w:rsid w:val="00F50DD3"/>
    <w:rsid w:val="00F70AE7"/>
    <w:rsid w:val="00F9318C"/>
    <w:rsid w:val="00FA24BD"/>
    <w:rsid w:val="00FA3160"/>
    <w:rsid w:val="00FB3FE3"/>
    <w:rsid w:val="00FB5DBE"/>
    <w:rsid w:val="00FB77A7"/>
    <w:rsid w:val="00FD66D7"/>
    <w:rsid w:val="00FE2D8F"/>
    <w:rsid w:val="00FE3CB2"/>
    <w:rsid w:val="00FE3DA3"/>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5EC5B2"/>
  <w15:chartTrackingRefBased/>
  <w15:docId w15:val="{B923807D-E696-4924-B094-03C0DD47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F8E"/>
    <w:pPr>
      <w:spacing w:before="0" w:after="0"/>
    </w:pPr>
    <w:rPr>
      <w:rFonts w:ascii="Calibri" w:hAnsi="Calibri" w:cs="Calibri"/>
      <w:color w:val="auto"/>
      <w:sz w:val="22"/>
      <w:szCs w:val="22"/>
    </w:rPr>
  </w:style>
  <w:style w:type="paragraph" w:styleId="Heading1">
    <w:name w:val="heading 1"/>
    <w:basedOn w:val="Normal"/>
    <w:next w:val="Normal"/>
    <w:link w:val="Heading1Char"/>
    <w:uiPriority w:val="9"/>
    <w:qFormat/>
    <w:rsid w:val="00C0732B"/>
    <w:pPr>
      <w:keepNext/>
      <w:keepLines/>
      <w:spacing w:before="240" w:after="12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06366C"/>
    <w:pPr>
      <w:keepNext/>
      <w:keepLines/>
      <w:spacing w:before="120" w:after="12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284D1A"/>
    <w:pPr>
      <w:keepNext/>
      <w:keepLines/>
      <w:spacing w:before="240" w:after="12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06366C"/>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C0732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284D1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pPr>
    <w:rPr>
      <w:rFonts w:asciiTheme="majorHAnsi" w:hAnsiTheme="majorHAnsi"/>
      <w:sz w:val="24"/>
    </w:rPr>
  </w:style>
  <w:style w:type="paragraph" w:styleId="TOC2">
    <w:name w:val="toc 2"/>
    <w:basedOn w:val="Normal"/>
    <w:next w:val="Normal"/>
    <w:autoRedefine/>
    <w:uiPriority w:val="39"/>
    <w:rsid w:val="00CB64BD"/>
    <w:pPr>
      <w:tabs>
        <w:tab w:val="right" w:leader="dot" w:pos="9628"/>
      </w:tabs>
      <w:spacing w:before="120" w:after="120"/>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before="120"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h1">
    <w:name w:val="1. Document name h1"/>
    <w:qFormat/>
    <w:rsid w:val="009E5FA8"/>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9E5FA8"/>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9E5FA8"/>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22"/>
      </w:numPr>
      <w:pBdr>
        <w:top w:val="single" w:sz="8" w:space="10" w:color="FBF7FD"/>
        <w:left w:val="single" w:sz="8" w:space="10" w:color="FBF7FD"/>
        <w:bottom w:val="single" w:sz="8" w:space="10" w:color="FBF7FD"/>
        <w:right w:val="single" w:sz="8" w:space="10" w:color="FBF7FD"/>
      </w:pBdr>
      <w:shd w:val="clear" w:color="auto" w:fill="F7F0FA"/>
      <w:spacing w:before="120" w:after="240"/>
      <w:ind w:right="-35"/>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pPr>
      <w:spacing w:after="120"/>
    </w:pPr>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numbering" w:customStyle="1" w:styleId="DefaultBullets1">
    <w:name w:val="Default Bullets1"/>
    <w:uiPriority w:val="99"/>
    <w:rsid w:val="006E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homemods.info/resources/hminfo-research-publications/consumer-factsheets/consumer-factsheet-hot-water-safety-in-bathrooms" TargetMode="External"/><Relationship Id="rId18" Type="http://schemas.openxmlformats.org/officeDocument/2006/relationships/hyperlink" Target="https://www.abcb.gov.au/sites/default/files/resources/2020/Report-Warm-Water.pdf" TargetMode="External"/><Relationship Id="rId26" Type="http://schemas.openxmlformats.org/officeDocument/2006/relationships/hyperlink" Target="https://www.hpw.qld.gov.au/__data/assets/pdf_file/0021/11379/installing-temperature-control-devices.pdf" TargetMode="External"/><Relationship Id="rId39" Type="http://schemas.openxmlformats.org/officeDocument/2006/relationships/header" Target="header1.xml"/><Relationship Id="R28a500062eb04de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epilepsy.org.au/epilepsy-and-risk_seizures-and-injury/" TargetMode="External"/><Relationship Id="rId34" Type="http://schemas.openxmlformats.org/officeDocument/2006/relationships/hyperlink" Target="https://www.worksafe.qld.gov.au/safety-and-prevention/hazards/workplace-hazards/dangers-in-your-workplace/burns-and-scalds"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discommission.gov.au/document/986" TargetMode="External"/><Relationship Id="rId17" Type="http://schemas.openxmlformats.org/officeDocument/2006/relationships/hyperlink" Target="https://www.aci.health.nsw.gov.au/__data/assets/pdf_file/0009/250020/Burn-patient-management-guidelines.pdf" TargetMode="External"/><Relationship Id="rId25" Type="http://schemas.openxmlformats.org/officeDocument/2006/relationships/hyperlink" Target="https://www.phaa.net.au/documents/item/1702" TargetMode="External"/><Relationship Id="rId33" Type="http://schemas.openxmlformats.org/officeDocument/2006/relationships/hyperlink" Target="https://www.commerce.wa.gov.au/sites/default/files/atoms/files/plumbers_dris_2019.pdf" TargetMode="External"/><Relationship Id="rId38" Type="http://schemas.openxmlformats.org/officeDocument/2006/relationships/hyperlink" Target="https://www.ndiscommission.gov.au/" TargetMode="External"/><Relationship Id="rId2" Type="http://schemas.openxmlformats.org/officeDocument/2006/relationships/numbering" Target="numbering.xml"/><Relationship Id="rId16" Type="http://schemas.openxmlformats.org/officeDocument/2006/relationships/hyperlink" Target="https://www.betterhealth.vic.gov.au/health/conditionsandtreatments/burns-and-scalds-children" TargetMode="External"/><Relationship Id="rId20" Type="http://schemas.openxmlformats.org/officeDocument/2006/relationships/hyperlink" Target="https://anzba.org.au/assets/BRANZ_AnnualReport_Jul19-Jun20.pdf" TargetMode="External"/><Relationship Id="rId29" Type="http://schemas.openxmlformats.org/officeDocument/2006/relationships/hyperlink" Target="https://www.sa.gov.au/__data/assets/pdf_file/0010/294652/200402-OTR-PAN-Temp-of-delivered-heated-water.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providers/ndis-practice-standards" TargetMode="External"/><Relationship Id="rId24" Type="http://schemas.openxmlformats.org/officeDocument/2006/relationships/hyperlink" Target="https://www.facs.nsw.gov.au/families/parenting/keeping-children-safe/around-the-house/chapters/at-home" TargetMode="External"/><Relationship Id="rId32" Type="http://schemas.openxmlformats.org/officeDocument/2006/relationships/hyperlink" Target="https://www.priorityhealthcare.com.au/files/Victorian%20Government%20Aged%20Care%20Brief.pdf" TargetMode="External"/><Relationship Id="rId37" Type="http://schemas.openxmlformats.org/officeDocument/2006/relationships/hyperlink" Target="mailto:contactcentre@ndiscommission.gov.au" TargetMode="External"/><Relationship Id="rId40" Type="http://schemas.openxmlformats.org/officeDocument/2006/relationships/footer" Target="footer1.xml"/><Relationship Id="R967132ee84e8431b"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vba.vic.gov.au/consumers/guides/hot-water-safety" TargetMode="External"/><Relationship Id="rId23" Type="http://schemas.openxmlformats.org/officeDocument/2006/relationships/hyperlink" Target="https://www.healthdirect.gov.au/burns-and-scalds" TargetMode="External"/><Relationship Id="rId28" Type="http://schemas.openxmlformats.org/officeDocument/2006/relationships/hyperlink" Target="https://www.sepsis.org/sepsisand/burns/" TargetMode="External"/><Relationship Id="rId36" Type="http://schemas.openxmlformats.org/officeDocument/2006/relationships/hyperlink" Target="https://www.who.int/surgery/publications/Burns_management.pdf" TargetMode="External"/><Relationship Id="rId10" Type="http://schemas.openxmlformats.org/officeDocument/2006/relationships/hyperlink" Target="https://www.ndiscommission.gov.au/providers/ndis-code-conduct" TargetMode="External"/><Relationship Id="rId19" Type="http://schemas.openxmlformats.org/officeDocument/2006/relationships/hyperlink" Target="https://store.standards.org.au/reader/as-nzs-3500-4-2018?preview=1" TargetMode="External"/><Relationship Id="rId31" Type="http://schemas.openxmlformats.org/officeDocument/2006/relationships/hyperlink" Target="https://www.vba.vic.gov.au/consumers/guides/hot-water-safet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ore.standards.org.au/reader/as-nzs-3500-4-2018?preview=1" TargetMode="External"/><Relationship Id="rId14" Type="http://schemas.openxmlformats.org/officeDocument/2006/relationships/hyperlink" Target="https://www.rch.org.au/kidsinfo/fact_sheets/Burns_prevention_and_first_aid/" TargetMode="External"/><Relationship Id="rId22" Type="http://schemas.openxmlformats.org/officeDocument/2006/relationships/hyperlink" Target="https://www.hse.gov.uk/pubns/hsis6.pdf" TargetMode="External"/><Relationship Id="rId27" Type="http://schemas.openxmlformats.org/officeDocument/2006/relationships/hyperlink" Target="https://www.health.qld.gov.au/__data/assets/pdf_file/0025/151099/qh-gdl-374-8.pdf" TargetMode="External"/><Relationship Id="rId30" Type="http://schemas.openxmlformats.org/officeDocument/2006/relationships/hyperlink" Target="https://stjohn.org.au/assets/uploads/fact%20sheets/english/Fact%20sheets_burn%20or%20scald.pdf" TargetMode="External"/><Relationship Id="rId35" Type="http://schemas.openxmlformats.org/officeDocument/2006/relationships/hyperlink" Target="https://www.who.int/news-room/fact-sheets/detail/burns"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B433-5C87-43BE-8F53-832F859A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1593</Words>
  <Characters>10411</Characters>
  <Application>Microsoft Office Word</Application>
  <DocSecurity>0</DocSecurity>
  <Lines>192</Lines>
  <Paragraphs>103</Paragraphs>
  <ScaleCrop>false</ScaleCrop>
  <HeadingPairs>
    <vt:vector size="2" baseType="variant">
      <vt:variant>
        <vt:lpstr>Title</vt:lpstr>
      </vt:variant>
      <vt:variant>
        <vt:i4>1</vt:i4>
      </vt:variant>
    </vt:vector>
  </HeadingPairs>
  <TitlesOfParts>
    <vt:vector size="1" baseType="lpstr">
      <vt:lpstr>Practice Alert: Hot water safety</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Hot water safety</dc:title>
  <dc:subject/>
  <dc:creator>NDIS Quality and Safeguards Commission</dc:creator>
  <cp:keywords>[SEC=OFFICIAL]</cp:keywords>
  <dc:description/>
  <cp:lastModifiedBy>RAMIREZ, Maria Charissa</cp:lastModifiedBy>
  <cp:revision>2</cp:revision>
  <cp:lastPrinted>2020-06-19T06:33:00Z</cp:lastPrinted>
  <dcterms:created xsi:type="dcterms:W3CDTF">2022-02-23T01:03:00Z</dcterms:created>
  <dcterms:modified xsi:type="dcterms:W3CDTF">2022-02-23T01:03:00Z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6874D3CA7FE24B66BFF70B2E49CE51D4</vt:lpwstr>
  </property>
  <property fmtid="{D5CDD505-2E9C-101B-9397-08002B2CF9AE}" pid="9" name="PM_ProtectiveMarkingValue_Footer">
    <vt:lpwstr>OFFICIAL</vt:lpwstr>
  </property>
  <property fmtid="{D5CDD505-2E9C-101B-9397-08002B2CF9AE}" pid="10" name="PM_Originator_Hash_SHA1">
    <vt:lpwstr>39A28BA089445277F7DBFE78B363E533E410A056</vt:lpwstr>
  </property>
  <property fmtid="{D5CDD505-2E9C-101B-9397-08002B2CF9AE}" pid="11" name="PM_OriginationTimeStamp">
    <vt:lpwstr>2022-02-23T01:02:59Z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90E8A7E8DDEA384752BFF05E0A1F0BD9</vt:lpwstr>
  </property>
  <property fmtid="{D5CDD505-2E9C-101B-9397-08002B2CF9AE}" pid="21" name="PM_Hash_Salt">
    <vt:lpwstr>0AC82C0685D86B2DA5926528FBB4E50D</vt:lpwstr>
  </property>
  <property fmtid="{D5CDD505-2E9C-101B-9397-08002B2CF9AE}" pid="22" name="PM_Hash_SHA1">
    <vt:lpwstr>1A59F0415A0F88C0ECF5B21D95E7A97D9BDB4D59</vt:lpwstr>
  </property>
  <property fmtid="{D5CDD505-2E9C-101B-9397-08002B2CF9AE}" pid="23" name="PM_OriginatorUserAccountName_SHA256">
    <vt:lpwstr>80C23C24ABB1359AD1BFDBA3CA0C478AF9BF0BA3FFB467F6E80086DFEF3F1695</vt:lpwstr>
  </property>
  <property fmtid="{D5CDD505-2E9C-101B-9397-08002B2CF9AE}" pid="24" name="PM_OriginatorDomainName_SHA256">
    <vt:lpwstr>CE53151D70EF3143B9B6CA1DC053F41E858E2C804CF2EE5AE813E5CCE407743B</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