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7A7" w:rsidRPr="006968AA" w:rsidRDefault="00FE57A7" w:rsidP="00FE57A7">
      <w:pPr>
        <w:pStyle w:val="4Titledescription"/>
        <w:rPr>
          <w:lang w:val="en-AU"/>
        </w:rPr>
      </w:pPr>
      <w:r w:rsidRPr="006968AA">
        <w:rPr>
          <w:noProof/>
          <w:lang w:val="en-AU" w:eastAsia="zh-CN" w:bidi="hi-IN"/>
        </w:rPr>
        <w:drawing>
          <wp:inline distT="0" distB="0" distL="0" distR="0" wp14:anchorId="4F8F63F5" wp14:editId="4AFA8778">
            <wp:extent cx="635000" cy="76200"/>
            <wp:effectExtent l="0" t="0" r="0" b="0"/>
            <wp:docPr id="1073741825" name="officeArt object" descr="Brand element." title="Green line"/>
            <wp:cNvGraphicFramePr/>
            <a:graphic xmlns:a="http://schemas.openxmlformats.org/drawingml/2006/main">
              <a:graphicData uri="http://schemas.openxmlformats.org/drawingml/2006/picture">
                <pic:pic xmlns:pic="http://schemas.openxmlformats.org/drawingml/2006/picture">
                  <pic:nvPicPr>
                    <pic:cNvPr id="1073741825" name="Green-line.gif"/>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35000" cy="76200"/>
                    </a:xfrm>
                    <a:prstGeom prst="rect">
                      <a:avLst/>
                    </a:prstGeom>
                    <a:ln w="12700" cap="flat">
                      <a:noFill/>
                      <a:miter lim="400000"/>
                    </a:ln>
                    <a:effectLst/>
                  </pic:spPr>
                </pic:pic>
              </a:graphicData>
            </a:graphic>
          </wp:inline>
        </w:drawing>
      </w:r>
    </w:p>
    <w:p w:rsidR="00FE57A7" w:rsidRPr="006968AA" w:rsidRDefault="00FE57A7" w:rsidP="00FE57A7">
      <w:pPr>
        <w:pStyle w:val="1Documentnameh1"/>
      </w:pPr>
      <w:r w:rsidRPr="006968AA">
        <w:t>Practice Alert</w:t>
      </w:r>
    </w:p>
    <w:p w:rsidR="00FE57A7" w:rsidRPr="006968AA" w:rsidRDefault="00FE57A7" w:rsidP="00FE57A7">
      <w:pPr>
        <w:pStyle w:val="3Titleh3"/>
        <w:rPr>
          <w:lang w:val="en-AU"/>
        </w:rPr>
      </w:pPr>
      <w:r w:rsidRPr="006968AA">
        <w:rPr>
          <w:lang w:val="en-AU"/>
        </w:rPr>
        <w:t xml:space="preserve">Polypharmacy </w:t>
      </w:r>
    </w:p>
    <w:p w:rsidR="00FE57A7" w:rsidRPr="006968AA" w:rsidRDefault="00096EE8" w:rsidP="00FE57A7">
      <w:pPr>
        <w:pStyle w:val="4Titledescription"/>
        <w:rPr>
          <w:lang w:val="en-AU"/>
        </w:rPr>
      </w:pPr>
      <w:r>
        <w:rPr>
          <w:lang w:val="en-AU"/>
        </w:rPr>
        <w:t>November</w:t>
      </w:r>
      <w:r w:rsidR="00FE57A7" w:rsidRPr="006968AA">
        <w:rPr>
          <w:lang w:val="en-AU"/>
        </w:rPr>
        <w:t xml:space="preserve"> 2020</w:t>
      </w:r>
    </w:p>
    <w:p w:rsidR="00FE57A7" w:rsidRPr="006968AA" w:rsidRDefault="00FE57A7" w:rsidP="00FE57A7">
      <w:pPr>
        <w:pStyle w:val="5AboutHeadingh4"/>
        <w:spacing w:before="240" w:after="240"/>
        <w:ind w:right="-34"/>
        <w:rPr>
          <w:lang w:val="en-AU"/>
        </w:rPr>
      </w:pPr>
      <w:r w:rsidRPr="006968AA">
        <w:rPr>
          <w:lang w:val="en-AU"/>
        </w:rPr>
        <w:t>Key points</w:t>
      </w:r>
      <w:bookmarkStart w:id="0" w:name="_GoBack"/>
      <w:bookmarkEnd w:id="0"/>
    </w:p>
    <w:p w:rsidR="00FE57A7" w:rsidRPr="006968AA" w:rsidRDefault="00FE57A7" w:rsidP="00FE57A7">
      <w:pPr>
        <w:pStyle w:val="6Aboutbullet"/>
        <w:spacing w:before="240"/>
        <w:ind w:right="-34"/>
        <w:rPr>
          <w:lang w:val="en-AU"/>
        </w:rPr>
      </w:pPr>
      <w:r w:rsidRPr="006968AA">
        <w:rPr>
          <w:lang w:val="en-AU"/>
        </w:rPr>
        <w:t xml:space="preserve">Polypharmacy </w:t>
      </w:r>
      <w:proofErr w:type="gramStart"/>
      <w:r w:rsidRPr="006968AA">
        <w:rPr>
          <w:lang w:val="en-AU"/>
        </w:rPr>
        <w:t>is often defined</w:t>
      </w:r>
      <w:proofErr w:type="gramEnd"/>
      <w:r w:rsidRPr="006968AA">
        <w:rPr>
          <w:lang w:val="en-AU"/>
        </w:rPr>
        <w:t xml:space="preserve"> as the use of five or more medications, or two or more psychotropic medications, at the same time.</w:t>
      </w:r>
    </w:p>
    <w:p w:rsidR="00FE57A7" w:rsidRPr="006968AA" w:rsidRDefault="00FE57A7" w:rsidP="00FE57A7">
      <w:pPr>
        <w:pStyle w:val="6Aboutbullet"/>
        <w:spacing w:before="240"/>
        <w:ind w:right="-34"/>
        <w:rPr>
          <w:lang w:val="en-AU"/>
        </w:rPr>
      </w:pPr>
      <w:r w:rsidRPr="006968AA">
        <w:rPr>
          <w:lang w:val="en-AU"/>
        </w:rPr>
        <w:t xml:space="preserve">Polypharmacy increases the risk of medication-related adverse effects and poorer health </w:t>
      </w:r>
      <w:proofErr w:type="gramStart"/>
      <w:r w:rsidRPr="006968AA">
        <w:rPr>
          <w:lang w:val="en-AU"/>
        </w:rPr>
        <w:t>outcomes</w:t>
      </w:r>
      <w:proofErr w:type="gramEnd"/>
      <w:r w:rsidRPr="006968AA">
        <w:rPr>
          <w:lang w:val="en-AU"/>
        </w:rPr>
        <w:t>.</w:t>
      </w:r>
    </w:p>
    <w:p w:rsidR="00FE57A7" w:rsidRPr="006968AA" w:rsidRDefault="00FE57A7" w:rsidP="00FE57A7">
      <w:pPr>
        <w:pStyle w:val="6Aboutbullet"/>
        <w:spacing w:before="240"/>
        <w:ind w:right="-34"/>
        <w:rPr>
          <w:lang w:val="en-AU"/>
        </w:rPr>
      </w:pPr>
      <w:r w:rsidRPr="006968AA">
        <w:rPr>
          <w:lang w:val="en-AU"/>
        </w:rPr>
        <w:t>Participants taking multiple medications should have these reviewed every 3 to 6 months by a medical practitioner or pharmacist.</w:t>
      </w:r>
    </w:p>
    <w:p w:rsidR="00FE1A5E" w:rsidRPr="006968AA" w:rsidRDefault="00FE1A5E" w:rsidP="0067621B">
      <w:pPr>
        <w:pStyle w:val="Heading"/>
        <w:rPr>
          <w:lang w:val="en-AU"/>
        </w:rPr>
      </w:pPr>
      <w:r w:rsidRPr="006968AA">
        <w:rPr>
          <w:lang w:val="en-AU"/>
        </w:rPr>
        <w:t>What is polypharmacy?</w:t>
      </w:r>
    </w:p>
    <w:p w:rsidR="00FE1A5E" w:rsidRPr="006968AA" w:rsidRDefault="00FE1A5E" w:rsidP="00FF634B">
      <w:pPr>
        <w:pStyle w:val="BodyA"/>
        <w:spacing w:before="120" w:after="120" w:line="276" w:lineRule="auto"/>
        <w:rPr>
          <w:rFonts w:asciiTheme="minorHAnsi" w:hAnsiTheme="minorHAnsi" w:cstheme="minorHAnsi"/>
          <w:lang w:val="en-AU"/>
        </w:rPr>
      </w:pPr>
      <w:r w:rsidRPr="006968AA">
        <w:rPr>
          <w:rFonts w:asciiTheme="minorHAnsi" w:hAnsiTheme="minorHAnsi" w:cstheme="minorHAnsi"/>
          <w:b/>
          <w:bCs/>
          <w:lang w:val="en-AU"/>
        </w:rPr>
        <w:t>Polypharmacy</w:t>
      </w:r>
      <w:r w:rsidRPr="006968AA">
        <w:rPr>
          <w:rFonts w:asciiTheme="minorHAnsi" w:hAnsiTheme="minorHAnsi" w:cstheme="minorHAnsi"/>
          <w:lang w:val="en-AU"/>
        </w:rPr>
        <w:t xml:space="preserve"> is the concurrent use of multiple medications (often defined as five or more medications) to treat one condition or multiple concurrent conditions. It includes the use of all prescription medicines, over-the-counter medicines, and complementary medicines. </w:t>
      </w:r>
    </w:p>
    <w:p w:rsidR="00FE1A5E" w:rsidRPr="006968AA" w:rsidRDefault="00B90A43" w:rsidP="00FF634B">
      <w:pPr>
        <w:pStyle w:val="BodyA"/>
        <w:spacing w:before="120" w:after="120" w:line="276" w:lineRule="auto"/>
        <w:rPr>
          <w:rFonts w:asciiTheme="minorHAnsi" w:hAnsiTheme="minorHAnsi" w:cstheme="minorHAnsi"/>
          <w:lang w:val="en-AU"/>
        </w:rPr>
      </w:pPr>
      <w:r w:rsidRPr="006968AA">
        <w:rPr>
          <w:rFonts w:asciiTheme="minorHAnsi" w:hAnsiTheme="minorHAnsi" w:cstheme="minorHAnsi"/>
          <w:lang w:val="en-AU"/>
        </w:rPr>
        <w:t>P</w:t>
      </w:r>
      <w:r w:rsidR="00FE1A5E" w:rsidRPr="006968AA">
        <w:rPr>
          <w:rFonts w:asciiTheme="minorHAnsi" w:hAnsiTheme="minorHAnsi" w:cstheme="minorHAnsi"/>
          <w:lang w:val="en-AU"/>
        </w:rPr>
        <w:t xml:space="preserve">olypharmacy </w:t>
      </w:r>
      <w:r w:rsidRPr="006968AA">
        <w:rPr>
          <w:rFonts w:asciiTheme="minorHAnsi" w:hAnsiTheme="minorHAnsi" w:cstheme="minorHAnsi"/>
          <w:lang w:val="en-AU"/>
        </w:rPr>
        <w:t>use is</w:t>
      </w:r>
      <w:r w:rsidR="00FE1A5E" w:rsidRPr="006968AA">
        <w:rPr>
          <w:rFonts w:asciiTheme="minorHAnsi" w:hAnsiTheme="minorHAnsi" w:cstheme="minorHAnsi"/>
          <w:lang w:val="en-AU"/>
        </w:rPr>
        <w:t xml:space="preserve"> signifi</w:t>
      </w:r>
      <w:r w:rsidRPr="006968AA">
        <w:rPr>
          <w:rFonts w:asciiTheme="minorHAnsi" w:hAnsiTheme="minorHAnsi" w:cstheme="minorHAnsi"/>
          <w:lang w:val="en-AU"/>
        </w:rPr>
        <w:t xml:space="preserve">cantly higher in people with </w:t>
      </w:r>
      <w:r w:rsidR="00B0476B" w:rsidRPr="006968AA">
        <w:rPr>
          <w:rFonts w:asciiTheme="minorHAnsi" w:hAnsiTheme="minorHAnsi" w:cstheme="minorHAnsi"/>
          <w:lang w:val="en-AU"/>
        </w:rPr>
        <w:t>disability</w:t>
      </w:r>
      <w:r w:rsidR="00FE1A5E" w:rsidRPr="006968AA">
        <w:rPr>
          <w:rFonts w:asciiTheme="minorHAnsi" w:hAnsiTheme="minorHAnsi" w:cstheme="minorHAnsi"/>
          <w:lang w:val="en-AU"/>
        </w:rPr>
        <w:t xml:space="preserve">. This is partly because people with </w:t>
      </w:r>
      <w:r w:rsidR="00051DF7" w:rsidRPr="006968AA">
        <w:rPr>
          <w:rFonts w:asciiTheme="minorHAnsi" w:hAnsiTheme="minorHAnsi" w:cstheme="minorHAnsi"/>
          <w:lang w:val="en-AU"/>
        </w:rPr>
        <w:t>a disability</w:t>
      </w:r>
      <w:r w:rsidR="00FE1A5E" w:rsidRPr="006968AA">
        <w:rPr>
          <w:rFonts w:asciiTheme="minorHAnsi" w:hAnsiTheme="minorHAnsi" w:cstheme="minorHAnsi"/>
          <w:lang w:val="en-AU"/>
        </w:rPr>
        <w:t xml:space="preserve"> are more likely to have multiple health conditions</w:t>
      </w:r>
      <w:r w:rsidR="00FF634B" w:rsidRPr="006968AA">
        <w:rPr>
          <w:rFonts w:asciiTheme="minorHAnsi" w:hAnsiTheme="minorHAnsi" w:cstheme="minorHAnsi"/>
          <w:lang w:val="en-AU"/>
        </w:rPr>
        <w:t>,</w:t>
      </w:r>
      <w:r w:rsidR="00FE1A5E" w:rsidRPr="006968AA">
        <w:rPr>
          <w:rFonts w:asciiTheme="minorHAnsi" w:hAnsiTheme="minorHAnsi" w:cstheme="minorHAnsi"/>
          <w:lang w:val="en-AU"/>
        </w:rPr>
        <w:t xml:space="preserve"> such as epilepsy, diabetes, stroke, heart problems, high blood pressure, and arthritis compared to the general population.</w:t>
      </w:r>
    </w:p>
    <w:p w:rsidR="00FE1A5E" w:rsidRPr="006968AA" w:rsidRDefault="00FE1A5E" w:rsidP="00FF634B">
      <w:pPr>
        <w:pStyle w:val="BodyA"/>
        <w:suppressAutoHyphens w:val="0"/>
        <w:spacing w:before="120" w:after="120" w:line="276" w:lineRule="auto"/>
        <w:rPr>
          <w:rFonts w:asciiTheme="minorHAnsi" w:hAnsiTheme="minorHAnsi" w:cstheme="minorHAnsi"/>
          <w:lang w:val="en-AU"/>
        </w:rPr>
      </w:pPr>
      <w:r w:rsidRPr="006968AA">
        <w:rPr>
          <w:rFonts w:asciiTheme="minorHAnsi" w:hAnsiTheme="minorHAnsi" w:cstheme="minorHAnsi"/>
          <w:b/>
          <w:bCs/>
          <w:lang w:val="en-AU"/>
        </w:rPr>
        <w:t>Psychotropic polypharmacy</w:t>
      </w:r>
      <w:r w:rsidRPr="006968AA">
        <w:rPr>
          <w:rFonts w:asciiTheme="minorHAnsi" w:hAnsiTheme="minorHAnsi" w:cstheme="minorHAnsi"/>
          <w:lang w:val="en-AU"/>
        </w:rPr>
        <w:t xml:space="preserve"> refers to concurrent use of two or more medications that can affect the brain’s function. Psychotropic medications are ‘any drug capable of affecting the mind, emotions, and behaviour.’ The three main classes of psychotropic medicines are antidepressants, anti-anxiety agents (mostly benzodiazepines to manage anxiety and insomnia) and antipsychotics. Psychotropic polypharmacy is common in people with autism or an intellectual or developmental disability. Although people with these disabilities are more likely to receive medications because of co-exis</w:t>
      </w:r>
      <w:r w:rsidR="00FF634B" w:rsidRPr="006968AA">
        <w:rPr>
          <w:rFonts w:asciiTheme="minorHAnsi" w:hAnsiTheme="minorHAnsi" w:cstheme="minorHAnsi"/>
          <w:lang w:val="en-AU"/>
        </w:rPr>
        <w:t>ting mental health problems, medications</w:t>
      </w:r>
      <w:r w:rsidRPr="006968AA">
        <w:rPr>
          <w:rFonts w:asciiTheme="minorHAnsi" w:hAnsiTheme="minorHAnsi" w:cstheme="minorHAnsi"/>
          <w:lang w:val="en-AU"/>
        </w:rPr>
        <w:t xml:space="preserve"> </w:t>
      </w:r>
      <w:proofErr w:type="gramStart"/>
      <w:r w:rsidRPr="006968AA">
        <w:rPr>
          <w:rFonts w:asciiTheme="minorHAnsi" w:hAnsiTheme="minorHAnsi" w:cstheme="minorHAnsi"/>
          <w:lang w:val="en-AU"/>
        </w:rPr>
        <w:t>are often prescribed</w:t>
      </w:r>
      <w:proofErr w:type="gramEnd"/>
      <w:r w:rsidRPr="006968AA">
        <w:rPr>
          <w:rFonts w:asciiTheme="minorHAnsi" w:hAnsiTheme="minorHAnsi" w:cstheme="minorHAnsi"/>
          <w:lang w:val="en-AU"/>
        </w:rPr>
        <w:t xml:space="preserve"> without a diagnosis of a psychiatric disorder. Antipsychotics </w:t>
      </w:r>
      <w:proofErr w:type="gramStart"/>
      <w:r w:rsidRPr="006968AA">
        <w:rPr>
          <w:rFonts w:asciiTheme="minorHAnsi" w:hAnsiTheme="minorHAnsi" w:cstheme="minorHAnsi"/>
          <w:lang w:val="en-AU"/>
        </w:rPr>
        <w:t>are also frequently prescribed</w:t>
      </w:r>
      <w:proofErr w:type="gramEnd"/>
      <w:r w:rsidRPr="006968AA">
        <w:rPr>
          <w:rFonts w:asciiTheme="minorHAnsi" w:hAnsiTheme="minorHAnsi" w:cstheme="minorHAnsi"/>
          <w:lang w:val="en-AU"/>
        </w:rPr>
        <w:t xml:space="preserve"> to manage behaviours of concern, such as self-injury or aggression.</w:t>
      </w:r>
    </w:p>
    <w:p w:rsidR="00FE1A5E" w:rsidRPr="006968AA" w:rsidRDefault="00FE1A5E" w:rsidP="0067621B">
      <w:pPr>
        <w:pStyle w:val="Heading2"/>
      </w:pPr>
      <w:r w:rsidRPr="006968AA">
        <w:lastRenderedPageBreak/>
        <w:t>When is polypharmacy more likely?</w:t>
      </w:r>
    </w:p>
    <w:p w:rsidR="00FE1A5E" w:rsidRPr="006968AA" w:rsidRDefault="00FE1A5E" w:rsidP="00FF634B">
      <w:pPr>
        <w:pStyle w:val="BodyA"/>
        <w:spacing w:before="120" w:after="120" w:line="276" w:lineRule="auto"/>
        <w:contextualSpacing/>
        <w:rPr>
          <w:rFonts w:asciiTheme="minorHAnsi" w:hAnsiTheme="minorHAnsi" w:cstheme="minorHAnsi"/>
          <w:lang w:val="en-AU"/>
        </w:rPr>
      </w:pPr>
      <w:r w:rsidRPr="006968AA">
        <w:rPr>
          <w:rFonts w:asciiTheme="minorHAnsi" w:hAnsiTheme="minorHAnsi" w:cstheme="minorHAnsi"/>
          <w:lang w:val="en-AU"/>
        </w:rPr>
        <w:t>High rates of polypharmacy are associated with participants who:</w:t>
      </w:r>
    </w:p>
    <w:p w:rsidR="00FE1A5E" w:rsidRPr="006968AA" w:rsidRDefault="00FE1A5E" w:rsidP="00FF634B">
      <w:pPr>
        <w:pStyle w:val="Bullet2"/>
        <w:numPr>
          <w:ilvl w:val="0"/>
          <w:numId w:val="29"/>
        </w:numPr>
        <w:pBdr>
          <w:top w:val="nil"/>
          <w:left w:val="nil"/>
          <w:bottom w:val="nil"/>
          <w:right w:val="nil"/>
          <w:between w:val="nil"/>
          <w:bar w:val="nil"/>
        </w:pBdr>
        <w:suppressAutoHyphens/>
        <w:spacing w:before="120" w:after="120"/>
        <w:contextualSpacing/>
        <w:rPr>
          <w:rFonts w:asciiTheme="minorHAnsi" w:hAnsiTheme="minorHAnsi" w:cstheme="minorHAnsi"/>
        </w:rPr>
      </w:pPr>
      <w:r w:rsidRPr="006968AA">
        <w:rPr>
          <w:rFonts w:asciiTheme="minorHAnsi" w:hAnsiTheme="minorHAnsi" w:cstheme="minorHAnsi"/>
        </w:rPr>
        <w:t xml:space="preserve">live in a residential setting </w:t>
      </w:r>
    </w:p>
    <w:p w:rsidR="00FE1A5E" w:rsidRPr="006968AA" w:rsidRDefault="00FE1A5E" w:rsidP="00FF634B">
      <w:pPr>
        <w:pStyle w:val="Bullet2"/>
        <w:numPr>
          <w:ilvl w:val="0"/>
          <w:numId w:val="29"/>
        </w:numPr>
        <w:pBdr>
          <w:top w:val="nil"/>
          <w:left w:val="nil"/>
          <w:bottom w:val="nil"/>
          <w:right w:val="nil"/>
          <w:between w:val="nil"/>
          <w:bar w:val="nil"/>
        </w:pBdr>
        <w:suppressAutoHyphens/>
        <w:spacing w:before="120" w:after="120"/>
        <w:contextualSpacing/>
        <w:rPr>
          <w:rFonts w:asciiTheme="minorHAnsi" w:hAnsiTheme="minorHAnsi" w:cstheme="minorHAnsi"/>
        </w:rPr>
      </w:pPr>
      <w:r w:rsidRPr="006968AA">
        <w:rPr>
          <w:rFonts w:asciiTheme="minorHAnsi" w:hAnsiTheme="minorHAnsi" w:cstheme="minorHAnsi"/>
        </w:rPr>
        <w:t>receive prescriptions from multiple prescribers</w:t>
      </w:r>
    </w:p>
    <w:p w:rsidR="00FE1A5E" w:rsidRPr="006968AA" w:rsidRDefault="00FE1A5E" w:rsidP="00FF634B">
      <w:pPr>
        <w:pStyle w:val="Bullet2"/>
        <w:numPr>
          <w:ilvl w:val="0"/>
          <w:numId w:val="29"/>
        </w:numPr>
        <w:pBdr>
          <w:top w:val="nil"/>
          <w:left w:val="nil"/>
          <w:bottom w:val="nil"/>
          <w:right w:val="nil"/>
          <w:between w:val="nil"/>
          <w:bar w:val="nil"/>
        </w:pBdr>
        <w:suppressAutoHyphens/>
        <w:spacing w:before="120" w:after="120"/>
        <w:contextualSpacing/>
        <w:rPr>
          <w:rFonts w:asciiTheme="minorHAnsi" w:hAnsiTheme="minorHAnsi" w:cstheme="minorHAnsi"/>
        </w:rPr>
      </w:pPr>
      <w:r w:rsidRPr="006968AA">
        <w:rPr>
          <w:rFonts w:asciiTheme="minorHAnsi" w:hAnsiTheme="minorHAnsi" w:cstheme="minorHAnsi"/>
        </w:rPr>
        <w:t xml:space="preserve">have moderate to severe </w:t>
      </w:r>
      <w:r w:rsidR="00B0476B" w:rsidRPr="006968AA">
        <w:rPr>
          <w:rFonts w:asciiTheme="minorHAnsi" w:hAnsiTheme="minorHAnsi" w:cstheme="minorHAnsi"/>
        </w:rPr>
        <w:t xml:space="preserve">intellectual or developmental </w:t>
      </w:r>
      <w:r w:rsidRPr="006968AA">
        <w:rPr>
          <w:rFonts w:asciiTheme="minorHAnsi" w:hAnsiTheme="minorHAnsi" w:cstheme="minorHAnsi"/>
        </w:rPr>
        <w:t>disability</w:t>
      </w:r>
    </w:p>
    <w:p w:rsidR="00FE1A5E" w:rsidRPr="006968AA" w:rsidRDefault="00FE1A5E" w:rsidP="00FF634B">
      <w:pPr>
        <w:pStyle w:val="Bullet2"/>
        <w:numPr>
          <w:ilvl w:val="0"/>
          <w:numId w:val="29"/>
        </w:numPr>
        <w:pBdr>
          <w:top w:val="nil"/>
          <w:left w:val="nil"/>
          <w:bottom w:val="nil"/>
          <w:right w:val="nil"/>
          <w:between w:val="nil"/>
          <w:bar w:val="nil"/>
        </w:pBdr>
        <w:suppressAutoHyphens/>
        <w:spacing w:before="120" w:after="120"/>
        <w:contextualSpacing/>
        <w:rPr>
          <w:rFonts w:asciiTheme="minorHAnsi" w:hAnsiTheme="minorHAnsi" w:cstheme="minorHAnsi"/>
        </w:rPr>
      </w:pPr>
      <w:r w:rsidRPr="006968AA">
        <w:rPr>
          <w:rFonts w:asciiTheme="minorHAnsi" w:hAnsiTheme="minorHAnsi" w:cstheme="minorHAnsi"/>
        </w:rPr>
        <w:t xml:space="preserve">have a poorer overall health status </w:t>
      </w:r>
    </w:p>
    <w:p w:rsidR="00FE1A5E" w:rsidRPr="006968AA" w:rsidRDefault="00FE1A5E" w:rsidP="00FF634B">
      <w:pPr>
        <w:pStyle w:val="Bullet2"/>
        <w:numPr>
          <w:ilvl w:val="0"/>
          <w:numId w:val="29"/>
        </w:numPr>
        <w:pBdr>
          <w:top w:val="nil"/>
          <w:left w:val="nil"/>
          <w:bottom w:val="nil"/>
          <w:right w:val="nil"/>
          <w:between w:val="nil"/>
          <w:bar w:val="nil"/>
        </w:pBdr>
        <w:suppressAutoHyphens/>
        <w:spacing w:before="120" w:after="120"/>
        <w:contextualSpacing/>
        <w:rPr>
          <w:rFonts w:asciiTheme="minorHAnsi" w:hAnsiTheme="minorHAnsi" w:cstheme="minorHAnsi"/>
        </w:rPr>
      </w:pPr>
      <w:r w:rsidRPr="006968AA">
        <w:rPr>
          <w:rFonts w:asciiTheme="minorHAnsi" w:hAnsiTheme="minorHAnsi" w:cstheme="minorHAnsi"/>
        </w:rPr>
        <w:t>have co-occurring psychiatric, neurological or developmental disorders</w:t>
      </w:r>
    </w:p>
    <w:p w:rsidR="00FE1A5E" w:rsidRPr="006968AA" w:rsidRDefault="00FE1A5E" w:rsidP="00FF634B">
      <w:pPr>
        <w:pStyle w:val="Bullet2"/>
        <w:numPr>
          <w:ilvl w:val="0"/>
          <w:numId w:val="29"/>
        </w:numPr>
        <w:pBdr>
          <w:top w:val="nil"/>
          <w:left w:val="nil"/>
          <w:bottom w:val="nil"/>
          <w:right w:val="nil"/>
          <w:between w:val="nil"/>
          <w:bar w:val="nil"/>
        </w:pBdr>
        <w:suppressAutoHyphens/>
        <w:spacing w:before="120" w:after="120"/>
        <w:rPr>
          <w:rFonts w:asciiTheme="minorHAnsi" w:hAnsiTheme="minorHAnsi" w:cstheme="minorHAnsi"/>
        </w:rPr>
      </w:pPr>
      <w:r w:rsidRPr="006968AA">
        <w:rPr>
          <w:rFonts w:asciiTheme="minorHAnsi" w:hAnsiTheme="minorHAnsi" w:cstheme="minorHAnsi"/>
        </w:rPr>
        <w:t>have multiple neurological or psychiatric diagnoses</w:t>
      </w:r>
    </w:p>
    <w:p w:rsidR="00FE1A5E" w:rsidRPr="006968AA" w:rsidRDefault="00FE1A5E" w:rsidP="0067621B">
      <w:pPr>
        <w:pStyle w:val="Heading2"/>
      </w:pPr>
      <w:r w:rsidRPr="006968AA">
        <w:t>What are the risks associated with polypharmacy?</w:t>
      </w:r>
    </w:p>
    <w:p w:rsidR="00FE1A5E" w:rsidRPr="006968AA" w:rsidRDefault="00FE1A5E" w:rsidP="00FF634B">
      <w:pPr>
        <w:pStyle w:val="BodyA"/>
        <w:spacing w:before="120" w:after="120" w:line="276" w:lineRule="auto"/>
        <w:rPr>
          <w:rFonts w:asciiTheme="minorHAnsi" w:hAnsiTheme="minorHAnsi" w:cstheme="minorHAnsi"/>
          <w:lang w:val="en-AU"/>
        </w:rPr>
      </w:pPr>
      <w:r w:rsidRPr="006968AA">
        <w:rPr>
          <w:rFonts w:asciiTheme="minorHAnsi" w:hAnsiTheme="minorHAnsi" w:cstheme="minorHAnsi"/>
          <w:lang w:val="en-AU"/>
        </w:rPr>
        <w:t xml:space="preserve">Large-scale studies have shown that polypharmacy increases the risk of drug-related adverse effects. It is a leading reason for medication-related hospitalisations, can decrease the benefit of individual medications, and is associated with poor health outcomes. </w:t>
      </w:r>
    </w:p>
    <w:p w:rsidR="00FE1A5E" w:rsidRPr="006968AA" w:rsidRDefault="00FE1A5E" w:rsidP="00FF634B">
      <w:pPr>
        <w:pStyle w:val="BodyA"/>
        <w:spacing w:before="120" w:after="120" w:line="276" w:lineRule="auto"/>
        <w:contextualSpacing/>
        <w:rPr>
          <w:rFonts w:asciiTheme="minorHAnsi" w:hAnsiTheme="minorHAnsi" w:cstheme="minorHAnsi"/>
          <w:lang w:val="en-AU"/>
        </w:rPr>
      </w:pPr>
      <w:r w:rsidRPr="006968AA">
        <w:rPr>
          <w:rFonts w:asciiTheme="minorHAnsi" w:hAnsiTheme="minorHAnsi" w:cstheme="minorHAnsi"/>
          <w:lang w:val="en-AU"/>
        </w:rPr>
        <w:t xml:space="preserve">The use of multiple antipsychotics can increase the risk </w:t>
      </w:r>
      <w:proofErr w:type="gramStart"/>
      <w:r w:rsidRPr="006968AA">
        <w:rPr>
          <w:rFonts w:asciiTheme="minorHAnsi" w:hAnsiTheme="minorHAnsi" w:cstheme="minorHAnsi"/>
          <w:lang w:val="en-AU"/>
        </w:rPr>
        <w:t>of</w:t>
      </w:r>
      <w:proofErr w:type="gramEnd"/>
      <w:r w:rsidRPr="006968AA">
        <w:rPr>
          <w:rFonts w:asciiTheme="minorHAnsi" w:hAnsiTheme="minorHAnsi" w:cstheme="minorHAnsi"/>
          <w:lang w:val="en-AU"/>
        </w:rPr>
        <w:t>:</w:t>
      </w:r>
    </w:p>
    <w:p w:rsidR="00FE1A5E" w:rsidRPr="006968AA" w:rsidRDefault="00FE1A5E" w:rsidP="00FF634B">
      <w:pPr>
        <w:pStyle w:val="Bullet2"/>
        <w:numPr>
          <w:ilvl w:val="0"/>
          <w:numId w:val="30"/>
        </w:numPr>
        <w:pBdr>
          <w:top w:val="nil"/>
          <w:left w:val="nil"/>
          <w:bottom w:val="nil"/>
          <w:right w:val="nil"/>
          <w:between w:val="nil"/>
          <w:bar w:val="nil"/>
        </w:pBdr>
        <w:suppressAutoHyphens/>
        <w:spacing w:before="120" w:after="120"/>
        <w:contextualSpacing/>
        <w:rPr>
          <w:rFonts w:asciiTheme="minorHAnsi" w:hAnsiTheme="minorHAnsi" w:cstheme="minorHAnsi"/>
        </w:rPr>
      </w:pPr>
      <w:r w:rsidRPr="006968AA">
        <w:rPr>
          <w:rFonts w:asciiTheme="minorHAnsi" w:hAnsiTheme="minorHAnsi" w:cstheme="minorHAnsi"/>
        </w:rPr>
        <w:t>movement disorders</w:t>
      </w:r>
    </w:p>
    <w:p w:rsidR="00FE1A5E" w:rsidRPr="006968AA" w:rsidRDefault="00FE1A5E" w:rsidP="00FF634B">
      <w:pPr>
        <w:pStyle w:val="Bullet2"/>
        <w:numPr>
          <w:ilvl w:val="0"/>
          <w:numId w:val="30"/>
        </w:numPr>
        <w:pBdr>
          <w:top w:val="nil"/>
          <w:left w:val="nil"/>
          <w:bottom w:val="nil"/>
          <w:right w:val="nil"/>
          <w:between w:val="nil"/>
          <w:bar w:val="nil"/>
        </w:pBdr>
        <w:suppressAutoHyphens/>
        <w:spacing w:before="120" w:after="120"/>
        <w:contextualSpacing/>
        <w:rPr>
          <w:rFonts w:asciiTheme="minorHAnsi" w:hAnsiTheme="minorHAnsi" w:cstheme="minorHAnsi"/>
        </w:rPr>
      </w:pPr>
      <w:r w:rsidRPr="006968AA">
        <w:rPr>
          <w:rFonts w:asciiTheme="minorHAnsi" w:hAnsiTheme="minorHAnsi" w:cstheme="minorHAnsi"/>
        </w:rPr>
        <w:t>hormone disorders</w:t>
      </w:r>
    </w:p>
    <w:p w:rsidR="00FE1A5E" w:rsidRPr="006968AA" w:rsidRDefault="00FE1A5E" w:rsidP="00FF634B">
      <w:pPr>
        <w:pStyle w:val="Bullet2"/>
        <w:numPr>
          <w:ilvl w:val="0"/>
          <w:numId w:val="30"/>
        </w:numPr>
        <w:pBdr>
          <w:top w:val="nil"/>
          <w:left w:val="nil"/>
          <w:bottom w:val="nil"/>
          <w:right w:val="nil"/>
          <w:between w:val="nil"/>
          <w:bar w:val="nil"/>
        </w:pBdr>
        <w:suppressAutoHyphens/>
        <w:spacing w:before="120" w:after="120"/>
        <w:contextualSpacing/>
        <w:rPr>
          <w:rFonts w:asciiTheme="minorHAnsi" w:hAnsiTheme="minorHAnsi" w:cstheme="minorHAnsi"/>
        </w:rPr>
      </w:pPr>
      <w:r w:rsidRPr="006968AA">
        <w:rPr>
          <w:rFonts w:asciiTheme="minorHAnsi" w:hAnsiTheme="minorHAnsi" w:cstheme="minorHAnsi"/>
        </w:rPr>
        <w:t>sexual dysfunction</w:t>
      </w:r>
    </w:p>
    <w:p w:rsidR="00FE1A5E" w:rsidRPr="006968AA" w:rsidRDefault="00FE1A5E" w:rsidP="00FF634B">
      <w:pPr>
        <w:pStyle w:val="Bullet2"/>
        <w:numPr>
          <w:ilvl w:val="0"/>
          <w:numId w:val="30"/>
        </w:numPr>
        <w:pBdr>
          <w:top w:val="nil"/>
          <w:left w:val="nil"/>
          <w:bottom w:val="nil"/>
          <w:right w:val="nil"/>
          <w:between w:val="nil"/>
          <w:bar w:val="nil"/>
        </w:pBdr>
        <w:suppressAutoHyphens/>
        <w:spacing w:before="120" w:after="120"/>
        <w:contextualSpacing/>
        <w:rPr>
          <w:rFonts w:asciiTheme="minorHAnsi" w:hAnsiTheme="minorHAnsi" w:cstheme="minorHAnsi"/>
        </w:rPr>
      </w:pPr>
      <w:r w:rsidRPr="006968AA">
        <w:rPr>
          <w:rFonts w:asciiTheme="minorHAnsi" w:hAnsiTheme="minorHAnsi" w:cstheme="minorHAnsi"/>
        </w:rPr>
        <w:t>obesity</w:t>
      </w:r>
    </w:p>
    <w:p w:rsidR="00FE1A5E" w:rsidRPr="006968AA" w:rsidRDefault="00FE1A5E" w:rsidP="00FF634B">
      <w:pPr>
        <w:pStyle w:val="Bullet2"/>
        <w:numPr>
          <w:ilvl w:val="0"/>
          <w:numId w:val="30"/>
        </w:numPr>
        <w:pBdr>
          <w:top w:val="nil"/>
          <w:left w:val="nil"/>
          <w:bottom w:val="nil"/>
          <w:right w:val="nil"/>
          <w:between w:val="nil"/>
          <w:bar w:val="nil"/>
        </w:pBdr>
        <w:suppressAutoHyphens/>
        <w:spacing w:before="120" w:after="120"/>
        <w:contextualSpacing/>
        <w:rPr>
          <w:rFonts w:asciiTheme="minorHAnsi" w:hAnsiTheme="minorHAnsi" w:cstheme="minorHAnsi"/>
        </w:rPr>
      </w:pPr>
      <w:r w:rsidRPr="006968AA">
        <w:rPr>
          <w:rFonts w:asciiTheme="minorHAnsi" w:hAnsiTheme="minorHAnsi" w:cstheme="minorHAnsi"/>
        </w:rPr>
        <w:t>diabetes</w:t>
      </w:r>
    </w:p>
    <w:p w:rsidR="00FE1A5E" w:rsidRPr="006968AA" w:rsidRDefault="00FE1A5E" w:rsidP="00FF634B">
      <w:pPr>
        <w:pStyle w:val="Bullet2"/>
        <w:numPr>
          <w:ilvl w:val="0"/>
          <w:numId w:val="30"/>
        </w:numPr>
        <w:pBdr>
          <w:top w:val="nil"/>
          <w:left w:val="nil"/>
          <w:bottom w:val="nil"/>
          <w:right w:val="nil"/>
          <w:between w:val="nil"/>
          <w:bar w:val="nil"/>
        </w:pBdr>
        <w:suppressAutoHyphens/>
        <w:spacing w:before="120" w:after="120"/>
        <w:contextualSpacing/>
        <w:rPr>
          <w:rFonts w:asciiTheme="minorHAnsi" w:hAnsiTheme="minorHAnsi" w:cstheme="minorHAnsi"/>
        </w:rPr>
      </w:pPr>
      <w:r w:rsidRPr="006968AA">
        <w:rPr>
          <w:rFonts w:asciiTheme="minorHAnsi" w:hAnsiTheme="minorHAnsi" w:cstheme="minorHAnsi"/>
        </w:rPr>
        <w:t>stroke and heart attack</w:t>
      </w:r>
    </w:p>
    <w:p w:rsidR="00FE1A5E" w:rsidRPr="006968AA" w:rsidRDefault="00FE1A5E" w:rsidP="00FF634B">
      <w:pPr>
        <w:pStyle w:val="Bullet2"/>
        <w:numPr>
          <w:ilvl w:val="0"/>
          <w:numId w:val="30"/>
        </w:numPr>
        <w:pBdr>
          <w:top w:val="nil"/>
          <w:left w:val="nil"/>
          <w:bottom w:val="nil"/>
          <w:right w:val="nil"/>
          <w:between w:val="nil"/>
          <w:bar w:val="nil"/>
        </w:pBdr>
        <w:suppressAutoHyphens/>
        <w:spacing w:before="120" w:after="120"/>
        <w:contextualSpacing/>
        <w:rPr>
          <w:rFonts w:asciiTheme="minorHAnsi" w:hAnsiTheme="minorHAnsi" w:cstheme="minorHAnsi"/>
        </w:rPr>
      </w:pPr>
      <w:r w:rsidRPr="006968AA">
        <w:rPr>
          <w:rFonts w:asciiTheme="minorHAnsi" w:hAnsiTheme="minorHAnsi" w:cstheme="minorHAnsi"/>
        </w:rPr>
        <w:t>memory issues</w:t>
      </w:r>
    </w:p>
    <w:p w:rsidR="00FE1A5E" w:rsidRPr="006968AA" w:rsidRDefault="00FE1A5E" w:rsidP="00FF634B">
      <w:pPr>
        <w:pStyle w:val="Bullet2"/>
        <w:numPr>
          <w:ilvl w:val="0"/>
          <w:numId w:val="30"/>
        </w:numPr>
        <w:pBdr>
          <w:top w:val="nil"/>
          <w:left w:val="nil"/>
          <w:bottom w:val="nil"/>
          <w:right w:val="nil"/>
          <w:between w:val="nil"/>
          <w:bar w:val="nil"/>
        </w:pBdr>
        <w:suppressAutoHyphens/>
        <w:spacing w:before="120" w:after="120"/>
        <w:contextualSpacing/>
        <w:rPr>
          <w:rFonts w:asciiTheme="minorHAnsi" w:hAnsiTheme="minorHAnsi" w:cstheme="minorHAnsi"/>
        </w:rPr>
      </w:pPr>
      <w:r w:rsidRPr="006968AA">
        <w:rPr>
          <w:rFonts w:asciiTheme="minorHAnsi" w:hAnsiTheme="minorHAnsi" w:cstheme="minorHAnsi"/>
        </w:rPr>
        <w:t>falls</w:t>
      </w:r>
    </w:p>
    <w:p w:rsidR="00FE1A5E" w:rsidRPr="006968AA" w:rsidRDefault="00FE1A5E" w:rsidP="00FF634B">
      <w:pPr>
        <w:pStyle w:val="Bullet2"/>
        <w:numPr>
          <w:ilvl w:val="0"/>
          <w:numId w:val="30"/>
        </w:numPr>
        <w:pBdr>
          <w:top w:val="nil"/>
          <w:left w:val="nil"/>
          <w:bottom w:val="nil"/>
          <w:right w:val="nil"/>
          <w:between w:val="nil"/>
          <w:bar w:val="nil"/>
        </w:pBdr>
        <w:suppressAutoHyphens/>
        <w:spacing w:before="120" w:after="120"/>
        <w:rPr>
          <w:rFonts w:asciiTheme="minorHAnsi" w:hAnsiTheme="minorHAnsi" w:cstheme="minorHAnsi"/>
        </w:rPr>
      </w:pPr>
      <w:proofErr w:type="gramStart"/>
      <w:r w:rsidRPr="006968AA">
        <w:rPr>
          <w:rFonts w:asciiTheme="minorHAnsi" w:hAnsiTheme="minorHAnsi" w:cstheme="minorHAnsi"/>
        </w:rPr>
        <w:t>sedation</w:t>
      </w:r>
      <w:proofErr w:type="gramEnd"/>
      <w:r w:rsidRPr="006968AA">
        <w:rPr>
          <w:rFonts w:asciiTheme="minorHAnsi" w:hAnsiTheme="minorHAnsi" w:cstheme="minorHAnsi"/>
        </w:rPr>
        <w:t>.</w:t>
      </w:r>
    </w:p>
    <w:p w:rsidR="00FE1A5E" w:rsidRPr="006968AA" w:rsidRDefault="00FE1A5E" w:rsidP="00FF634B">
      <w:pPr>
        <w:pStyle w:val="BodyA"/>
        <w:spacing w:before="120" w:after="120" w:line="276" w:lineRule="auto"/>
        <w:rPr>
          <w:rFonts w:asciiTheme="minorHAnsi" w:hAnsiTheme="minorHAnsi" w:cstheme="minorHAnsi"/>
          <w:shd w:val="clear" w:color="auto" w:fill="FFFF00"/>
          <w:lang w:val="en-AU"/>
        </w:rPr>
      </w:pPr>
      <w:r w:rsidRPr="006968AA">
        <w:rPr>
          <w:rFonts w:asciiTheme="minorHAnsi" w:hAnsiTheme="minorHAnsi" w:cstheme="minorHAnsi"/>
          <w:lang w:val="en-AU"/>
        </w:rPr>
        <w:t>The World Health Organisation and Australian Commission on Safety and Quality in Health Care have identified reducing the risks associated with polypharmacy as a major priority.</w:t>
      </w:r>
    </w:p>
    <w:p w:rsidR="00FE1A5E" w:rsidRPr="006968AA" w:rsidRDefault="00FE1A5E" w:rsidP="0067621B">
      <w:pPr>
        <w:pStyle w:val="Heading2"/>
      </w:pPr>
      <w:r w:rsidRPr="006968AA">
        <w:t>Importance of polypharmacy review</w:t>
      </w:r>
    </w:p>
    <w:p w:rsidR="00FE1A5E" w:rsidRPr="006968AA" w:rsidRDefault="00FE1A5E" w:rsidP="00FF634B">
      <w:pPr>
        <w:pStyle w:val="BodyA"/>
        <w:spacing w:before="120" w:after="120" w:line="276" w:lineRule="auto"/>
        <w:rPr>
          <w:rFonts w:asciiTheme="minorHAnsi" w:hAnsiTheme="minorHAnsi" w:cstheme="minorHAnsi"/>
          <w:lang w:val="en-AU"/>
        </w:rPr>
      </w:pPr>
      <w:r w:rsidRPr="006968AA">
        <w:rPr>
          <w:rFonts w:asciiTheme="minorHAnsi" w:hAnsiTheme="minorHAnsi" w:cstheme="minorHAnsi"/>
          <w:lang w:val="en-AU"/>
        </w:rPr>
        <w:t xml:space="preserve">Despite the risks associated with polypharmacy, it may be the most appropriate treatment, particularly for people with multiple conditions. </w:t>
      </w:r>
    </w:p>
    <w:p w:rsidR="00FE1A5E" w:rsidRPr="006968AA" w:rsidRDefault="00FE1A5E" w:rsidP="00FF634B">
      <w:pPr>
        <w:pStyle w:val="BodyA"/>
        <w:spacing w:before="120" w:after="120" w:line="276" w:lineRule="auto"/>
        <w:rPr>
          <w:rFonts w:asciiTheme="minorHAnsi" w:hAnsiTheme="minorHAnsi" w:cstheme="minorHAnsi"/>
          <w:lang w:val="en-AU"/>
        </w:rPr>
      </w:pPr>
      <w:r w:rsidRPr="006968AA">
        <w:rPr>
          <w:rFonts w:asciiTheme="minorHAnsi" w:hAnsiTheme="minorHAnsi" w:cstheme="minorHAnsi"/>
          <w:lang w:val="en-AU"/>
        </w:rPr>
        <w:t xml:space="preserve">To ensure participants are receiving the correct medications, a review of all medications by a medical practitioner and pharmacist allows each drug to </w:t>
      </w:r>
      <w:proofErr w:type="gramStart"/>
      <w:r w:rsidRPr="006968AA">
        <w:rPr>
          <w:rFonts w:asciiTheme="minorHAnsi" w:hAnsiTheme="minorHAnsi" w:cstheme="minorHAnsi"/>
          <w:lang w:val="en-AU"/>
        </w:rPr>
        <w:t>be assessed</w:t>
      </w:r>
      <w:proofErr w:type="gramEnd"/>
      <w:r w:rsidRPr="006968AA">
        <w:rPr>
          <w:rFonts w:asciiTheme="minorHAnsi" w:hAnsiTheme="minorHAnsi" w:cstheme="minorHAnsi"/>
          <w:lang w:val="en-AU"/>
        </w:rPr>
        <w:t xml:space="preserve"> in terms of need, current and recommended dosages, benefit versus risk of potential adverse effects or other side effects, and possible interactions between medications. </w:t>
      </w:r>
    </w:p>
    <w:p w:rsidR="00FE1A5E" w:rsidRPr="006968AA" w:rsidRDefault="00FE1A5E" w:rsidP="00FF634B">
      <w:pPr>
        <w:pStyle w:val="BodyA"/>
        <w:suppressAutoHyphens w:val="0"/>
        <w:spacing w:before="120" w:after="120" w:line="276" w:lineRule="auto"/>
        <w:rPr>
          <w:rFonts w:asciiTheme="minorHAnsi" w:hAnsiTheme="minorHAnsi" w:cstheme="minorHAnsi"/>
          <w:lang w:val="en-AU"/>
        </w:rPr>
      </w:pPr>
      <w:r w:rsidRPr="006968AA">
        <w:rPr>
          <w:rFonts w:asciiTheme="minorHAnsi" w:hAnsiTheme="minorHAnsi" w:cstheme="minorHAnsi"/>
          <w:lang w:val="en-AU"/>
        </w:rPr>
        <w:t xml:space="preserve">Regular medication reviews can prevent or minimise polypharmacy-related adverse effects and related hospitalisations, by helping participants, support workers, carers and caregivers </w:t>
      </w:r>
      <w:proofErr w:type="gramStart"/>
      <w:r w:rsidRPr="006968AA">
        <w:rPr>
          <w:rFonts w:asciiTheme="minorHAnsi" w:hAnsiTheme="minorHAnsi" w:cstheme="minorHAnsi"/>
          <w:lang w:val="en-AU"/>
        </w:rPr>
        <w:t>to better understand</w:t>
      </w:r>
      <w:proofErr w:type="gramEnd"/>
      <w:r w:rsidRPr="006968AA">
        <w:rPr>
          <w:rFonts w:asciiTheme="minorHAnsi" w:hAnsiTheme="minorHAnsi" w:cstheme="minorHAnsi"/>
          <w:lang w:val="en-AU"/>
        </w:rPr>
        <w:t xml:space="preserve"> how to use the medications correctly, and how to manage potential adverse effects. </w:t>
      </w:r>
    </w:p>
    <w:p w:rsidR="00FE1A5E" w:rsidRPr="006968AA" w:rsidRDefault="00FE1A5E" w:rsidP="00FF634B">
      <w:pPr>
        <w:pStyle w:val="BodyA"/>
        <w:spacing w:before="120" w:after="120" w:line="276" w:lineRule="auto"/>
        <w:rPr>
          <w:rFonts w:asciiTheme="minorHAnsi" w:hAnsiTheme="minorHAnsi" w:cstheme="minorHAnsi"/>
          <w:lang w:val="en-AU"/>
        </w:rPr>
      </w:pPr>
      <w:r w:rsidRPr="006968AA">
        <w:rPr>
          <w:rFonts w:asciiTheme="minorHAnsi" w:hAnsiTheme="minorHAnsi" w:cstheme="minorHAnsi"/>
          <w:lang w:val="en-AU"/>
        </w:rPr>
        <w:t xml:space="preserve">People with disability are among those most at risk of polypharmacy due to comorbid health conditions and the common use of several medicines of the same class (e.g. antipsychotics). A </w:t>
      </w:r>
      <w:r w:rsidRPr="006968AA">
        <w:rPr>
          <w:rFonts w:asciiTheme="minorHAnsi" w:hAnsiTheme="minorHAnsi" w:cstheme="minorHAnsi"/>
          <w:lang w:val="en-AU"/>
        </w:rPr>
        <w:lastRenderedPageBreak/>
        <w:t xml:space="preserve">medical practitioner should conduct a medication review every 3–6 </w:t>
      </w:r>
      <w:proofErr w:type="gramStart"/>
      <w:r w:rsidRPr="006968AA">
        <w:rPr>
          <w:rFonts w:asciiTheme="minorHAnsi" w:hAnsiTheme="minorHAnsi" w:cstheme="minorHAnsi"/>
          <w:lang w:val="en-AU"/>
        </w:rPr>
        <w:t>months,</w:t>
      </w:r>
      <w:proofErr w:type="gramEnd"/>
      <w:r w:rsidRPr="006968AA">
        <w:rPr>
          <w:rFonts w:asciiTheme="minorHAnsi" w:hAnsiTheme="minorHAnsi" w:cstheme="minorHAnsi"/>
          <w:lang w:val="en-AU"/>
        </w:rPr>
        <w:t xml:space="preserve"> or when requested by the participant, their carer or other health or disability professionals. </w:t>
      </w:r>
    </w:p>
    <w:p w:rsidR="00FE1A5E" w:rsidRPr="006968AA" w:rsidRDefault="00FE1A5E" w:rsidP="0067621B">
      <w:pPr>
        <w:pStyle w:val="Heading3"/>
      </w:pPr>
      <w:r w:rsidRPr="006968AA">
        <w:t>Home Medicines Reviews</w:t>
      </w:r>
    </w:p>
    <w:p w:rsidR="00FE1A5E" w:rsidRPr="006968AA" w:rsidRDefault="00FE1A5E" w:rsidP="00FF634B">
      <w:pPr>
        <w:pStyle w:val="BodyA"/>
        <w:spacing w:before="120" w:after="120" w:line="276" w:lineRule="auto"/>
        <w:rPr>
          <w:rFonts w:asciiTheme="minorHAnsi" w:hAnsiTheme="minorHAnsi" w:cstheme="minorHAnsi"/>
          <w:lang w:val="en-AU"/>
        </w:rPr>
      </w:pPr>
      <w:r w:rsidRPr="006968AA">
        <w:rPr>
          <w:rFonts w:asciiTheme="minorHAnsi" w:hAnsiTheme="minorHAnsi" w:cstheme="minorHAnsi"/>
          <w:lang w:val="en-AU"/>
        </w:rPr>
        <w:t xml:space="preserve">A Home Medicines Review </w:t>
      </w:r>
      <w:r w:rsidR="00FF634B" w:rsidRPr="006968AA">
        <w:rPr>
          <w:rFonts w:asciiTheme="minorHAnsi" w:hAnsiTheme="minorHAnsi" w:cstheme="minorHAnsi"/>
          <w:lang w:val="en-AU"/>
        </w:rPr>
        <w:t xml:space="preserve">(HMR) </w:t>
      </w:r>
      <w:r w:rsidRPr="006968AA">
        <w:rPr>
          <w:rFonts w:asciiTheme="minorHAnsi" w:hAnsiTheme="minorHAnsi" w:cstheme="minorHAnsi"/>
          <w:lang w:val="en-AU"/>
        </w:rPr>
        <w:t>is a collaborative medication review for people in the community. A</w:t>
      </w:r>
      <w:r w:rsidR="00FF634B" w:rsidRPr="006968AA">
        <w:rPr>
          <w:rFonts w:asciiTheme="minorHAnsi" w:hAnsiTheme="minorHAnsi" w:cstheme="minorHAnsi"/>
          <w:lang w:val="en-AU"/>
        </w:rPr>
        <w:t xml:space="preserve"> referral from a</w:t>
      </w:r>
      <w:r w:rsidRPr="006968AA">
        <w:rPr>
          <w:rFonts w:asciiTheme="minorHAnsi" w:hAnsiTheme="minorHAnsi" w:cstheme="minorHAnsi"/>
          <w:lang w:val="en-AU"/>
        </w:rPr>
        <w:t xml:space="preserve"> GP or medical specialist</w:t>
      </w:r>
      <w:r w:rsidR="00FF634B" w:rsidRPr="006968AA">
        <w:rPr>
          <w:rFonts w:asciiTheme="minorHAnsi" w:hAnsiTheme="minorHAnsi" w:cstheme="minorHAnsi"/>
          <w:lang w:val="en-AU"/>
        </w:rPr>
        <w:t xml:space="preserve"> is required</w:t>
      </w:r>
      <w:r w:rsidRPr="006968AA">
        <w:rPr>
          <w:rFonts w:asciiTheme="minorHAnsi" w:hAnsiTheme="minorHAnsi" w:cstheme="minorHAnsi"/>
          <w:lang w:val="en-AU"/>
        </w:rPr>
        <w:t xml:space="preserve">. An accredited pharmacist interviews the patient and reviews their medications, then provides a report to the participant’s doctor. It aims to maximise the patient's benefit from their medication regimen, and prevent medication-related problems. It is fully subsidised by Medicare for eligible patients and is available every 24 months to any person at risk </w:t>
      </w:r>
      <w:r w:rsidRPr="006968AA">
        <w:rPr>
          <w:lang w:val="en-AU"/>
        </w:rPr>
        <w:t>of, or experiencing medication related adverse effects</w:t>
      </w:r>
      <w:r w:rsidRPr="006968AA">
        <w:rPr>
          <w:rFonts w:asciiTheme="minorHAnsi" w:hAnsiTheme="minorHAnsi" w:cstheme="minorHAnsi"/>
          <w:lang w:val="en-AU"/>
        </w:rPr>
        <w:t xml:space="preserve">. </w:t>
      </w:r>
    </w:p>
    <w:p w:rsidR="00FE1A5E" w:rsidRPr="006968AA" w:rsidRDefault="00FE1A5E" w:rsidP="00FF634B">
      <w:pPr>
        <w:pBdr>
          <w:top w:val="nil"/>
          <w:left w:val="nil"/>
          <w:bottom w:val="nil"/>
          <w:right w:val="nil"/>
          <w:between w:val="nil"/>
          <w:bar w:val="nil"/>
        </w:pBdr>
        <w:suppressAutoHyphens/>
        <w:spacing w:before="120" w:after="120"/>
        <w:contextualSpacing/>
        <w:rPr>
          <w:rFonts w:asciiTheme="minorHAnsi" w:hAnsiTheme="minorHAnsi" w:cstheme="minorHAnsi"/>
        </w:rPr>
      </w:pPr>
      <w:r w:rsidRPr="006968AA">
        <w:rPr>
          <w:rFonts w:asciiTheme="minorHAnsi" w:hAnsiTheme="minorHAnsi" w:cstheme="minorHAnsi"/>
        </w:rPr>
        <w:t xml:space="preserve">If clinically necessary, a HMR can occur more frequently than 24 months in the following scenarios: </w:t>
      </w:r>
    </w:p>
    <w:p w:rsidR="00FE1A5E" w:rsidRPr="006968AA" w:rsidRDefault="00FF634B" w:rsidP="00FF634B">
      <w:pPr>
        <w:pStyle w:val="ListParagraph"/>
        <w:numPr>
          <w:ilvl w:val="0"/>
          <w:numId w:val="31"/>
        </w:numPr>
        <w:pBdr>
          <w:top w:val="nil"/>
          <w:left w:val="nil"/>
          <w:bottom w:val="nil"/>
          <w:right w:val="nil"/>
          <w:between w:val="nil"/>
          <w:bar w:val="nil"/>
        </w:pBdr>
        <w:suppressAutoHyphens/>
        <w:spacing w:before="120" w:after="120"/>
        <w:rPr>
          <w:rFonts w:asciiTheme="minorHAnsi" w:hAnsiTheme="minorHAnsi" w:cstheme="minorHAnsi"/>
        </w:rPr>
      </w:pPr>
      <w:r w:rsidRPr="006968AA">
        <w:rPr>
          <w:rFonts w:asciiTheme="minorHAnsi" w:hAnsiTheme="minorHAnsi" w:cstheme="minorHAnsi"/>
        </w:rPr>
        <w:t>s</w:t>
      </w:r>
      <w:r w:rsidR="00FE1A5E" w:rsidRPr="006968AA">
        <w:rPr>
          <w:rFonts w:asciiTheme="minorHAnsi" w:hAnsiTheme="minorHAnsi" w:cstheme="minorHAnsi"/>
        </w:rPr>
        <w:t xml:space="preserve">ignificant change to a patient’s medication regimen in the past three months </w:t>
      </w:r>
    </w:p>
    <w:p w:rsidR="00FE1A5E" w:rsidRPr="006968AA" w:rsidRDefault="00FF634B" w:rsidP="00FF634B">
      <w:pPr>
        <w:pStyle w:val="ListParagraph"/>
        <w:numPr>
          <w:ilvl w:val="0"/>
          <w:numId w:val="31"/>
        </w:numPr>
        <w:pBdr>
          <w:top w:val="nil"/>
          <w:left w:val="nil"/>
          <w:bottom w:val="nil"/>
          <w:right w:val="nil"/>
          <w:between w:val="nil"/>
          <w:bar w:val="nil"/>
        </w:pBdr>
        <w:suppressAutoHyphens/>
        <w:spacing w:before="120" w:after="120"/>
        <w:rPr>
          <w:rFonts w:asciiTheme="minorHAnsi" w:hAnsiTheme="minorHAnsi" w:cstheme="minorHAnsi"/>
        </w:rPr>
      </w:pPr>
      <w:r w:rsidRPr="006968AA">
        <w:rPr>
          <w:rFonts w:asciiTheme="minorHAnsi" w:hAnsiTheme="minorHAnsi" w:cstheme="minorHAnsi"/>
        </w:rPr>
        <w:t>c</w:t>
      </w:r>
      <w:r w:rsidR="00FE1A5E" w:rsidRPr="006968AA">
        <w:rPr>
          <w:rFonts w:asciiTheme="minorHAnsi" w:hAnsiTheme="minorHAnsi" w:cstheme="minorHAnsi"/>
        </w:rPr>
        <w:t xml:space="preserve">hange in medical condition or abilities (including falls, cognition, physical function) </w:t>
      </w:r>
    </w:p>
    <w:p w:rsidR="00FE1A5E" w:rsidRPr="006968AA" w:rsidRDefault="00FF634B" w:rsidP="00FF634B">
      <w:pPr>
        <w:pStyle w:val="ListParagraph"/>
        <w:numPr>
          <w:ilvl w:val="0"/>
          <w:numId w:val="31"/>
        </w:numPr>
        <w:pBdr>
          <w:top w:val="nil"/>
          <w:left w:val="nil"/>
          <w:bottom w:val="nil"/>
          <w:right w:val="nil"/>
          <w:between w:val="nil"/>
          <w:bar w:val="nil"/>
        </w:pBdr>
        <w:suppressAutoHyphens/>
        <w:spacing w:before="120" w:after="120"/>
        <w:rPr>
          <w:rFonts w:asciiTheme="minorHAnsi" w:hAnsiTheme="minorHAnsi" w:cstheme="minorHAnsi"/>
        </w:rPr>
      </w:pPr>
      <w:r w:rsidRPr="006968AA">
        <w:rPr>
          <w:rFonts w:asciiTheme="minorHAnsi" w:hAnsiTheme="minorHAnsi" w:cstheme="minorHAnsi"/>
        </w:rPr>
        <w:t>p</w:t>
      </w:r>
      <w:r w:rsidR="00FE1A5E" w:rsidRPr="006968AA">
        <w:rPr>
          <w:rFonts w:asciiTheme="minorHAnsi" w:hAnsiTheme="minorHAnsi" w:cstheme="minorHAnsi"/>
        </w:rPr>
        <w:t>rescription of a medicine that may be more likely to cause harms</w:t>
      </w:r>
    </w:p>
    <w:p w:rsidR="00FE1A5E" w:rsidRPr="006968AA" w:rsidRDefault="00FF634B" w:rsidP="00FF634B">
      <w:pPr>
        <w:pStyle w:val="ListParagraph"/>
        <w:numPr>
          <w:ilvl w:val="0"/>
          <w:numId w:val="31"/>
        </w:numPr>
        <w:pBdr>
          <w:top w:val="nil"/>
          <w:left w:val="nil"/>
          <w:bottom w:val="nil"/>
          <w:right w:val="nil"/>
          <w:between w:val="nil"/>
          <w:bar w:val="nil"/>
        </w:pBdr>
        <w:suppressAutoHyphens/>
        <w:spacing w:before="120" w:after="120"/>
        <w:rPr>
          <w:rFonts w:asciiTheme="minorHAnsi" w:hAnsiTheme="minorHAnsi" w:cstheme="minorHAnsi"/>
        </w:rPr>
      </w:pPr>
      <w:r w:rsidRPr="006968AA">
        <w:rPr>
          <w:rFonts w:asciiTheme="minorHAnsi" w:hAnsiTheme="minorHAnsi" w:cstheme="minorHAnsi"/>
        </w:rPr>
        <w:t>s</w:t>
      </w:r>
      <w:r w:rsidR="00FE1A5E" w:rsidRPr="006968AA">
        <w:rPr>
          <w:rFonts w:asciiTheme="minorHAnsi" w:hAnsiTheme="minorHAnsi" w:cstheme="minorHAnsi"/>
        </w:rPr>
        <w:t>ymptoms</w:t>
      </w:r>
      <w:r w:rsidRPr="006968AA">
        <w:rPr>
          <w:rFonts w:asciiTheme="minorHAnsi" w:hAnsiTheme="minorHAnsi" w:cstheme="minorHAnsi"/>
        </w:rPr>
        <w:t xml:space="preserve"> that suggest</w:t>
      </w:r>
      <w:r w:rsidR="00FE1A5E" w:rsidRPr="006968AA">
        <w:rPr>
          <w:rFonts w:asciiTheme="minorHAnsi" w:hAnsiTheme="minorHAnsi" w:cstheme="minorHAnsi"/>
        </w:rPr>
        <w:t xml:space="preserve"> an adverse drug reaction</w:t>
      </w:r>
    </w:p>
    <w:p w:rsidR="00FE1A5E" w:rsidRPr="006968AA" w:rsidRDefault="00FE1A5E" w:rsidP="00FF634B">
      <w:pPr>
        <w:pStyle w:val="ListParagraph"/>
        <w:numPr>
          <w:ilvl w:val="0"/>
          <w:numId w:val="31"/>
        </w:numPr>
        <w:pBdr>
          <w:top w:val="nil"/>
          <w:left w:val="nil"/>
          <w:bottom w:val="nil"/>
          <w:right w:val="nil"/>
          <w:between w:val="nil"/>
          <w:bar w:val="nil"/>
        </w:pBdr>
        <w:suppressAutoHyphens/>
        <w:spacing w:before="120" w:after="120"/>
        <w:rPr>
          <w:rFonts w:asciiTheme="minorHAnsi" w:hAnsiTheme="minorHAnsi" w:cstheme="minorHAnsi"/>
        </w:rPr>
      </w:pPr>
      <w:r w:rsidRPr="006968AA">
        <w:rPr>
          <w:rFonts w:asciiTheme="minorHAnsi" w:hAnsiTheme="minorHAnsi" w:cstheme="minorHAnsi"/>
        </w:rPr>
        <w:t xml:space="preserve">inadequate response to medications </w:t>
      </w:r>
    </w:p>
    <w:p w:rsidR="00FE1A5E" w:rsidRPr="006968AA" w:rsidRDefault="00FF634B" w:rsidP="00FF634B">
      <w:pPr>
        <w:pStyle w:val="ListParagraph"/>
        <w:numPr>
          <w:ilvl w:val="0"/>
          <w:numId w:val="31"/>
        </w:numPr>
        <w:pBdr>
          <w:top w:val="nil"/>
          <w:left w:val="nil"/>
          <w:bottom w:val="nil"/>
          <w:right w:val="nil"/>
          <w:between w:val="nil"/>
          <w:bar w:val="nil"/>
        </w:pBdr>
        <w:suppressAutoHyphens/>
        <w:spacing w:before="120" w:after="120"/>
        <w:contextualSpacing w:val="0"/>
        <w:rPr>
          <w:rFonts w:asciiTheme="minorHAnsi" w:hAnsiTheme="minorHAnsi" w:cstheme="minorHAnsi"/>
        </w:rPr>
      </w:pPr>
      <w:proofErr w:type="gramStart"/>
      <w:r w:rsidRPr="006968AA">
        <w:rPr>
          <w:rFonts w:asciiTheme="minorHAnsi" w:hAnsiTheme="minorHAnsi" w:cstheme="minorHAnsi"/>
        </w:rPr>
        <w:t>s</w:t>
      </w:r>
      <w:r w:rsidR="00FE1A5E" w:rsidRPr="006968AA">
        <w:rPr>
          <w:rFonts w:asciiTheme="minorHAnsi" w:hAnsiTheme="minorHAnsi" w:cstheme="minorHAnsi"/>
        </w:rPr>
        <w:t>uspected</w:t>
      </w:r>
      <w:proofErr w:type="gramEnd"/>
      <w:r w:rsidR="00FE1A5E" w:rsidRPr="006968AA">
        <w:rPr>
          <w:rFonts w:asciiTheme="minorHAnsi" w:hAnsiTheme="minorHAnsi" w:cstheme="minorHAnsi"/>
        </w:rPr>
        <w:t xml:space="preserve"> non-compliance or pro</w:t>
      </w:r>
      <w:r w:rsidRPr="006968AA">
        <w:rPr>
          <w:rFonts w:asciiTheme="minorHAnsi" w:hAnsiTheme="minorHAnsi" w:cstheme="minorHAnsi"/>
        </w:rPr>
        <w:t>blems with managing medications.</w:t>
      </w:r>
    </w:p>
    <w:p w:rsidR="00FE1A5E" w:rsidRPr="006968AA" w:rsidRDefault="00FE1A5E" w:rsidP="0067621B">
      <w:pPr>
        <w:pStyle w:val="Heading"/>
        <w:rPr>
          <w:lang w:val="en-AU"/>
        </w:rPr>
      </w:pPr>
      <w:r w:rsidRPr="006968AA">
        <w:rPr>
          <w:lang w:val="en-AU"/>
        </w:rPr>
        <w:t xml:space="preserve">Recommended ways to support NDIS participants receiving polypharmacy </w:t>
      </w:r>
    </w:p>
    <w:p w:rsidR="00FF634B" w:rsidRPr="006968AA" w:rsidRDefault="00FE1A5E" w:rsidP="00FF634B">
      <w:pPr>
        <w:pStyle w:val="Bullet2"/>
        <w:numPr>
          <w:ilvl w:val="0"/>
          <w:numId w:val="32"/>
        </w:numPr>
        <w:pBdr>
          <w:top w:val="nil"/>
          <w:left w:val="nil"/>
          <w:bottom w:val="nil"/>
          <w:right w:val="nil"/>
          <w:between w:val="nil"/>
          <w:bar w:val="nil"/>
        </w:pBdr>
        <w:suppressAutoHyphens/>
        <w:spacing w:before="120" w:after="120"/>
        <w:rPr>
          <w:rFonts w:asciiTheme="minorHAnsi" w:hAnsiTheme="minorHAnsi" w:cstheme="minorHAnsi"/>
        </w:rPr>
      </w:pPr>
      <w:r w:rsidRPr="006968AA">
        <w:rPr>
          <w:rFonts w:asciiTheme="minorHAnsi" w:hAnsiTheme="minorHAnsi" w:cstheme="minorHAnsi"/>
        </w:rPr>
        <w:t xml:space="preserve">If participants are receiving multiple medications, arrange for a medical practitioner or pharmacist to review these every 3 to 6 months. </w:t>
      </w:r>
      <w:r w:rsidR="00FF634B" w:rsidRPr="006968AA">
        <w:rPr>
          <w:rFonts w:asciiTheme="minorHAnsi" w:hAnsiTheme="minorHAnsi" w:cstheme="minorHAnsi"/>
        </w:rPr>
        <w:t>This is because a participant may experience adverse effects when they take multiple medications.</w:t>
      </w:r>
    </w:p>
    <w:p w:rsidR="00FE1A5E" w:rsidRPr="006968AA" w:rsidRDefault="00FE1A5E" w:rsidP="00FF634B">
      <w:pPr>
        <w:pStyle w:val="Bullet2"/>
        <w:numPr>
          <w:ilvl w:val="0"/>
          <w:numId w:val="32"/>
        </w:numPr>
        <w:pBdr>
          <w:top w:val="nil"/>
          <w:left w:val="nil"/>
          <w:bottom w:val="nil"/>
          <w:right w:val="nil"/>
          <w:between w:val="nil"/>
          <w:bar w:val="nil"/>
        </w:pBdr>
        <w:suppressAutoHyphens/>
        <w:spacing w:before="120" w:after="120"/>
        <w:rPr>
          <w:rFonts w:asciiTheme="minorHAnsi" w:hAnsiTheme="minorHAnsi" w:cstheme="minorHAnsi"/>
        </w:rPr>
      </w:pPr>
      <w:r w:rsidRPr="006968AA">
        <w:rPr>
          <w:rFonts w:asciiTheme="minorHAnsi" w:hAnsiTheme="minorHAnsi" w:cstheme="minorHAnsi"/>
        </w:rPr>
        <w:t xml:space="preserve">In addition, if participants take five or more medications </w:t>
      </w:r>
      <w:r w:rsidR="00FF634B" w:rsidRPr="006968AA">
        <w:rPr>
          <w:rFonts w:asciiTheme="minorHAnsi" w:hAnsiTheme="minorHAnsi" w:cstheme="minorHAnsi"/>
        </w:rPr>
        <w:t>(</w:t>
      </w:r>
      <w:r w:rsidRPr="006968AA">
        <w:rPr>
          <w:rFonts w:asciiTheme="minorHAnsi" w:hAnsiTheme="minorHAnsi" w:cstheme="minorHAnsi"/>
        </w:rPr>
        <w:t>or two or more antipsychotics</w:t>
      </w:r>
      <w:r w:rsidR="00FF634B" w:rsidRPr="006968AA">
        <w:rPr>
          <w:rFonts w:asciiTheme="minorHAnsi" w:hAnsiTheme="minorHAnsi" w:cstheme="minorHAnsi"/>
        </w:rPr>
        <w:t>)</w:t>
      </w:r>
      <w:r w:rsidRPr="006968AA">
        <w:rPr>
          <w:rFonts w:asciiTheme="minorHAnsi" w:hAnsiTheme="minorHAnsi" w:cstheme="minorHAnsi"/>
        </w:rPr>
        <w:t xml:space="preserve">, arrange to have their medications reviewed by a pharmacist through the </w:t>
      </w:r>
      <w:r w:rsidR="00FF634B" w:rsidRPr="006968AA">
        <w:rPr>
          <w:rFonts w:asciiTheme="minorHAnsi" w:hAnsiTheme="minorHAnsi" w:cstheme="minorHAnsi"/>
        </w:rPr>
        <w:t xml:space="preserve">HMR </w:t>
      </w:r>
      <w:r w:rsidRPr="006968AA">
        <w:rPr>
          <w:rFonts w:asciiTheme="minorHAnsi" w:hAnsiTheme="minorHAnsi" w:cstheme="minorHAnsi"/>
        </w:rPr>
        <w:t xml:space="preserve">program. </w:t>
      </w:r>
    </w:p>
    <w:p w:rsidR="00FE1A5E" w:rsidRPr="006968AA" w:rsidRDefault="00FE1A5E" w:rsidP="00FF634B">
      <w:pPr>
        <w:pStyle w:val="ListParagraph"/>
        <w:numPr>
          <w:ilvl w:val="0"/>
          <w:numId w:val="32"/>
        </w:numPr>
        <w:pBdr>
          <w:top w:val="nil"/>
          <w:left w:val="nil"/>
          <w:bottom w:val="nil"/>
          <w:right w:val="nil"/>
          <w:between w:val="nil"/>
          <w:bar w:val="nil"/>
        </w:pBdr>
        <w:suppressAutoHyphens/>
        <w:spacing w:before="120" w:after="120"/>
        <w:contextualSpacing w:val="0"/>
        <w:rPr>
          <w:rFonts w:asciiTheme="minorHAnsi" w:hAnsiTheme="minorHAnsi" w:cstheme="minorHAnsi"/>
        </w:rPr>
      </w:pPr>
      <w:r w:rsidRPr="006968AA">
        <w:rPr>
          <w:rFonts w:asciiTheme="minorHAnsi" w:hAnsiTheme="minorHAnsi" w:cstheme="minorHAnsi"/>
        </w:rPr>
        <w:t>Keep a record of when participants last had their medications reviewed.</w:t>
      </w:r>
    </w:p>
    <w:p w:rsidR="00FE1A5E" w:rsidRPr="006968AA" w:rsidRDefault="00FE1A5E" w:rsidP="00FF634B">
      <w:pPr>
        <w:pStyle w:val="ListParagraph"/>
        <w:numPr>
          <w:ilvl w:val="0"/>
          <w:numId w:val="32"/>
        </w:numPr>
        <w:pBdr>
          <w:top w:val="nil"/>
          <w:left w:val="nil"/>
          <w:bottom w:val="nil"/>
          <w:right w:val="nil"/>
          <w:between w:val="nil"/>
          <w:bar w:val="nil"/>
        </w:pBdr>
        <w:suppressAutoHyphens/>
        <w:spacing w:before="120" w:after="120"/>
        <w:contextualSpacing w:val="0"/>
        <w:rPr>
          <w:rFonts w:asciiTheme="minorHAnsi" w:hAnsiTheme="minorHAnsi" w:cstheme="minorHAnsi"/>
        </w:rPr>
      </w:pPr>
      <w:r w:rsidRPr="006968AA">
        <w:rPr>
          <w:rFonts w:asciiTheme="minorHAnsi" w:hAnsiTheme="minorHAnsi" w:cstheme="minorHAnsi"/>
        </w:rPr>
        <w:t xml:space="preserve">Ensure that participants, carers and/or support staff have ready access to a full list of the participant’s current medicines. Tools such as the </w:t>
      </w:r>
      <w:hyperlink r:id="rId9" w:history="1">
        <w:r w:rsidRPr="006968AA">
          <w:rPr>
            <w:rStyle w:val="Hyperlink"/>
            <w:rFonts w:asciiTheme="minorHAnsi" w:hAnsiTheme="minorHAnsi" w:cstheme="minorHAnsi"/>
          </w:rPr>
          <w:t>NPS MedicineWise App</w:t>
        </w:r>
      </w:hyperlink>
      <w:r w:rsidRPr="006968AA">
        <w:rPr>
          <w:rFonts w:asciiTheme="minorHAnsi" w:hAnsiTheme="minorHAnsi" w:cstheme="minorHAnsi"/>
        </w:rPr>
        <w:t xml:space="preserve"> or electronic medication records such as </w:t>
      </w:r>
      <w:hyperlink r:id="rId10" w:history="1">
        <w:r w:rsidRPr="006968AA">
          <w:rPr>
            <w:rStyle w:val="Hyperlink"/>
            <w:rFonts w:asciiTheme="minorHAnsi" w:hAnsiTheme="minorHAnsi" w:cstheme="minorHAnsi"/>
          </w:rPr>
          <w:t>My Health Record</w:t>
        </w:r>
      </w:hyperlink>
      <w:r w:rsidRPr="006968AA">
        <w:rPr>
          <w:rFonts w:asciiTheme="minorHAnsi" w:hAnsiTheme="minorHAnsi" w:cstheme="minorHAnsi"/>
        </w:rPr>
        <w:t xml:space="preserve"> can assist with this.</w:t>
      </w:r>
    </w:p>
    <w:p w:rsidR="00FE1A5E" w:rsidRPr="006968AA" w:rsidRDefault="00FE1A5E" w:rsidP="00FF634B">
      <w:pPr>
        <w:pStyle w:val="ListParagraph"/>
        <w:numPr>
          <w:ilvl w:val="0"/>
          <w:numId w:val="32"/>
        </w:numPr>
        <w:pBdr>
          <w:top w:val="nil"/>
          <w:left w:val="nil"/>
          <w:bottom w:val="nil"/>
          <w:right w:val="nil"/>
          <w:between w:val="nil"/>
          <w:bar w:val="nil"/>
        </w:pBdr>
        <w:suppressAutoHyphens/>
        <w:spacing w:before="120" w:after="120"/>
        <w:contextualSpacing w:val="0"/>
        <w:rPr>
          <w:rFonts w:asciiTheme="minorHAnsi" w:hAnsiTheme="minorHAnsi" w:cstheme="minorHAnsi"/>
        </w:rPr>
      </w:pPr>
      <w:r w:rsidRPr="006968AA">
        <w:rPr>
          <w:rFonts w:asciiTheme="minorHAnsi" w:hAnsiTheme="minorHAnsi" w:cstheme="minorHAnsi"/>
        </w:rPr>
        <w:t>Make an appointment with a medical practitioner if you suspect that a participant may be experiencing adverse effects due to medications, particularly if there has been a recent change in medication.</w:t>
      </w:r>
    </w:p>
    <w:p w:rsidR="00FE1A5E" w:rsidRPr="006968AA" w:rsidRDefault="00FE1A5E" w:rsidP="0067621B">
      <w:pPr>
        <w:pStyle w:val="Heading"/>
        <w:rPr>
          <w:lang w:val="en-AU"/>
        </w:rPr>
      </w:pPr>
      <w:r w:rsidRPr="006968AA">
        <w:rPr>
          <w:lang w:val="en-AU"/>
        </w:rPr>
        <w:lastRenderedPageBreak/>
        <w:t>Provider obligations related to polypharmacy</w:t>
      </w:r>
    </w:p>
    <w:p w:rsidR="00FE1A5E" w:rsidRPr="006968AA" w:rsidRDefault="00FE1A5E" w:rsidP="0067621B">
      <w:pPr>
        <w:pStyle w:val="Heading2"/>
      </w:pPr>
      <w:r w:rsidRPr="006968AA">
        <w:t xml:space="preserve">NDIS Code of Conduct </w:t>
      </w:r>
    </w:p>
    <w:p w:rsidR="00FE1A5E" w:rsidRPr="006968AA" w:rsidRDefault="00FE1A5E" w:rsidP="00FE1A5E">
      <w:pPr>
        <w:pStyle w:val="Default"/>
        <w:spacing w:before="120" w:after="120" w:line="276" w:lineRule="auto"/>
        <w:rPr>
          <w:rFonts w:asciiTheme="minorHAnsi" w:eastAsia="Calibri" w:hAnsiTheme="minorHAnsi" w:cstheme="minorHAnsi"/>
          <w:sz w:val="22"/>
          <w:szCs w:val="22"/>
          <w:lang w:val="en-AU"/>
        </w:rPr>
      </w:pPr>
      <w:r w:rsidRPr="006968AA">
        <w:rPr>
          <w:rFonts w:asciiTheme="minorHAnsi" w:eastAsia="Calibri" w:hAnsiTheme="minorHAnsi" w:cstheme="minorHAnsi"/>
          <w:sz w:val="22"/>
          <w:szCs w:val="22"/>
          <w:lang w:val="en-AU"/>
        </w:rPr>
        <w:t xml:space="preserve">The NDIS Code of Conduct requires all NDIS providers and workers who deliver NDIS supports to NDIS participants to, among other things: </w:t>
      </w:r>
    </w:p>
    <w:p w:rsidR="00FE1A5E" w:rsidRPr="006968AA" w:rsidRDefault="00FE1A5E" w:rsidP="00FF634B">
      <w:pPr>
        <w:pStyle w:val="Default"/>
        <w:numPr>
          <w:ilvl w:val="0"/>
          <w:numId w:val="33"/>
        </w:numPr>
        <w:spacing w:before="120" w:after="120" w:line="276" w:lineRule="auto"/>
        <w:rPr>
          <w:rFonts w:asciiTheme="minorHAnsi" w:eastAsia="Calibri" w:hAnsiTheme="minorHAnsi" w:cstheme="minorHAnsi"/>
          <w:sz w:val="22"/>
          <w:szCs w:val="22"/>
          <w:lang w:val="en-AU"/>
        </w:rPr>
      </w:pPr>
      <w:r w:rsidRPr="006968AA">
        <w:rPr>
          <w:rFonts w:asciiTheme="minorHAnsi" w:eastAsia="Calibri" w:hAnsiTheme="minorHAnsi" w:cstheme="minorHAnsi"/>
          <w:sz w:val="22"/>
          <w:szCs w:val="22"/>
          <w:lang w:val="en-AU"/>
        </w:rPr>
        <w:t>provide supports and services in a safe and competent manner with care and skill</w:t>
      </w:r>
    </w:p>
    <w:p w:rsidR="00FE1A5E" w:rsidRPr="006968AA" w:rsidRDefault="00FE1A5E" w:rsidP="00FF634B">
      <w:pPr>
        <w:pStyle w:val="Default"/>
        <w:numPr>
          <w:ilvl w:val="0"/>
          <w:numId w:val="33"/>
        </w:numPr>
        <w:spacing w:before="120" w:after="120" w:line="276" w:lineRule="auto"/>
        <w:rPr>
          <w:rFonts w:asciiTheme="minorHAnsi" w:eastAsia="Calibri" w:hAnsiTheme="minorHAnsi" w:cstheme="minorHAnsi"/>
          <w:sz w:val="22"/>
          <w:szCs w:val="22"/>
          <w:lang w:val="en-AU"/>
        </w:rPr>
      </w:pPr>
      <w:proofErr w:type="gramStart"/>
      <w:r w:rsidRPr="006968AA">
        <w:rPr>
          <w:rFonts w:asciiTheme="minorHAnsi" w:eastAsia="Calibri" w:hAnsiTheme="minorHAnsi" w:cstheme="minorHAnsi"/>
          <w:sz w:val="22"/>
          <w:szCs w:val="22"/>
          <w:lang w:val="en-AU"/>
        </w:rPr>
        <w:t>promptly</w:t>
      </w:r>
      <w:proofErr w:type="gramEnd"/>
      <w:r w:rsidRPr="006968AA">
        <w:rPr>
          <w:rFonts w:asciiTheme="minorHAnsi" w:eastAsia="Calibri" w:hAnsiTheme="minorHAnsi" w:cstheme="minorHAnsi"/>
          <w:sz w:val="22"/>
          <w:szCs w:val="22"/>
          <w:lang w:val="en-AU"/>
        </w:rPr>
        <w:t xml:space="preserve"> take steps to raise and act on concerns about matters that might have an impact on the quality and safety of supports provided to people with disability. </w:t>
      </w:r>
    </w:p>
    <w:p w:rsidR="00FE1A5E" w:rsidRPr="006968AA" w:rsidRDefault="00FE1A5E" w:rsidP="0067621B">
      <w:pPr>
        <w:pStyle w:val="Heading2"/>
      </w:pPr>
      <w:r w:rsidRPr="006968AA">
        <w:t xml:space="preserve">NDIS Practice Standards </w:t>
      </w:r>
    </w:p>
    <w:p w:rsidR="00FE1A5E" w:rsidRPr="006968AA" w:rsidRDefault="00FE1A5E" w:rsidP="00FF634B">
      <w:pPr>
        <w:pStyle w:val="BodyA"/>
        <w:spacing w:before="120" w:after="120" w:line="276" w:lineRule="auto"/>
        <w:rPr>
          <w:rFonts w:asciiTheme="minorHAnsi" w:hAnsiTheme="minorHAnsi" w:cstheme="minorHAnsi"/>
          <w:lang w:val="en-AU"/>
        </w:rPr>
      </w:pPr>
      <w:r w:rsidRPr="006968AA">
        <w:rPr>
          <w:rFonts w:asciiTheme="minorHAnsi" w:hAnsiTheme="minorHAnsi" w:cstheme="minorHAnsi"/>
          <w:lang w:val="en-AU"/>
        </w:rPr>
        <w:t xml:space="preserve">As a registered NDIS provider, you also have obligations under the </w:t>
      </w:r>
      <w:hyperlink r:id="rId11" w:history="1">
        <w:r w:rsidRPr="006968AA">
          <w:rPr>
            <w:rStyle w:val="Hyperlink0"/>
            <w:rFonts w:asciiTheme="minorHAnsi" w:hAnsiTheme="minorHAnsi" w:cstheme="minorHAnsi"/>
            <w:lang w:val="en-AU"/>
          </w:rPr>
          <w:t>NDIS Practice Standards and Quality Indicators</w:t>
        </w:r>
      </w:hyperlink>
      <w:r w:rsidRPr="006968AA">
        <w:rPr>
          <w:rFonts w:asciiTheme="minorHAnsi" w:hAnsiTheme="minorHAnsi" w:cstheme="minorHAnsi"/>
          <w:lang w:val="en-AU"/>
        </w:rPr>
        <w:t>, as part of your conditions of registration, that relate to the delivery of safe, quality supports and services, and the management of risks associated with the supports you provide to NDIS participants.</w:t>
      </w:r>
    </w:p>
    <w:p w:rsidR="00FE1A5E" w:rsidRPr="006968AA" w:rsidRDefault="00FE1A5E" w:rsidP="00FF634B">
      <w:pPr>
        <w:pStyle w:val="BodyA"/>
        <w:spacing w:before="120" w:after="120" w:line="276" w:lineRule="auto"/>
        <w:rPr>
          <w:rStyle w:val="None"/>
          <w:rFonts w:asciiTheme="minorHAnsi" w:hAnsiTheme="minorHAnsi" w:cstheme="minorHAnsi"/>
          <w:lang w:val="en-AU"/>
        </w:rPr>
      </w:pPr>
      <w:r w:rsidRPr="006968AA">
        <w:rPr>
          <w:rStyle w:val="None"/>
          <w:rFonts w:asciiTheme="minorHAnsi" w:hAnsiTheme="minorHAnsi" w:cstheme="minorHAnsi"/>
          <w:lang w:val="en-AU"/>
        </w:rPr>
        <w:t xml:space="preserve">The NDIS Practice Standard and Quality Indicator that </w:t>
      </w:r>
      <w:r w:rsidR="00FF634B" w:rsidRPr="006968AA">
        <w:rPr>
          <w:rStyle w:val="None"/>
          <w:rFonts w:asciiTheme="minorHAnsi" w:hAnsiTheme="minorHAnsi" w:cstheme="minorHAnsi"/>
          <w:lang w:val="en-AU"/>
        </w:rPr>
        <w:t xml:space="preserve">is </w:t>
      </w:r>
      <w:r w:rsidRPr="006968AA">
        <w:rPr>
          <w:rStyle w:val="None"/>
          <w:rFonts w:asciiTheme="minorHAnsi" w:hAnsiTheme="minorHAnsi" w:cstheme="minorHAnsi"/>
          <w:lang w:val="en-AU"/>
        </w:rPr>
        <w:t>most relevant to this alert relate</w:t>
      </w:r>
      <w:r w:rsidR="00FF634B" w:rsidRPr="006968AA">
        <w:rPr>
          <w:rStyle w:val="None"/>
          <w:rFonts w:asciiTheme="minorHAnsi" w:hAnsiTheme="minorHAnsi" w:cstheme="minorHAnsi"/>
          <w:lang w:val="en-AU"/>
        </w:rPr>
        <w:t xml:space="preserve">s to </w:t>
      </w:r>
      <w:r w:rsidRPr="006968AA">
        <w:rPr>
          <w:rStyle w:val="None"/>
          <w:rFonts w:asciiTheme="minorHAnsi" w:hAnsiTheme="minorHAnsi" w:cstheme="minorHAnsi"/>
          <w:b/>
          <w:bCs/>
          <w:lang w:val="en-AU"/>
        </w:rPr>
        <w:t xml:space="preserve">Medication </w:t>
      </w:r>
      <w:r w:rsidR="00FF634B" w:rsidRPr="006968AA">
        <w:rPr>
          <w:rStyle w:val="None"/>
          <w:rFonts w:asciiTheme="minorHAnsi" w:hAnsiTheme="minorHAnsi" w:cstheme="minorHAnsi"/>
          <w:b/>
          <w:bCs/>
          <w:lang w:val="en-AU"/>
        </w:rPr>
        <w:t>M</w:t>
      </w:r>
      <w:r w:rsidRPr="006968AA">
        <w:rPr>
          <w:rStyle w:val="None"/>
          <w:rFonts w:asciiTheme="minorHAnsi" w:hAnsiTheme="minorHAnsi" w:cstheme="minorHAnsi"/>
          <w:b/>
          <w:bCs/>
          <w:lang w:val="en-AU"/>
        </w:rPr>
        <w:t>anagement</w:t>
      </w:r>
      <w:r w:rsidR="00FF634B" w:rsidRPr="006968AA">
        <w:rPr>
          <w:rStyle w:val="None"/>
          <w:rFonts w:asciiTheme="minorHAnsi" w:hAnsiTheme="minorHAnsi" w:cstheme="minorHAnsi"/>
          <w:b/>
          <w:bCs/>
          <w:lang w:val="en-AU"/>
        </w:rPr>
        <w:t xml:space="preserve">. </w:t>
      </w:r>
      <w:r w:rsidRPr="006968AA">
        <w:rPr>
          <w:rStyle w:val="None"/>
          <w:rFonts w:asciiTheme="minorHAnsi" w:hAnsiTheme="minorHAnsi" w:cstheme="minorHAnsi"/>
          <w:lang w:val="en-AU"/>
        </w:rPr>
        <w:t xml:space="preserve">This standard applies to a provider that is responsible for administering medication to participants. The standard expects that each participant requiring medication is confident their provider administers, </w:t>
      </w:r>
      <w:proofErr w:type="gramStart"/>
      <w:r w:rsidRPr="006968AA">
        <w:rPr>
          <w:rStyle w:val="None"/>
          <w:rFonts w:asciiTheme="minorHAnsi" w:hAnsiTheme="minorHAnsi" w:cstheme="minorHAnsi"/>
          <w:lang w:val="en-AU"/>
        </w:rPr>
        <w:t>stores and monitors the effects of their medication</w:t>
      </w:r>
      <w:proofErr w:type="gramEnd"/>
      <w:r w:rsidRPr="006968AA">
        <w:rPr>
          <w:rStyle w:val="None"/>
          <w:rFonts w:asciiTheme="minorHAnsi" w:hAnsiTheme="minorHAnsi" w:cstheme="minorHAnsi"/>
          <w:lang w:val="en-AU"/>
        </w:rPr>
        <w:t xml:space="preserve"> and works to prevent errors or incidents.</w:t>
      </w:r>
    </w:p>
    <w:p w:rsidR="00FE1A5E" w:rsidRPr="006968AA" w:rsidRDefault="00FE1A5E" w:rsidP="00FF634B">
      <w:pPr>
        <w:pStyle w:val="BodyA"/>
        <w:spacing w:before="120" w:after="120" w:line="276" w:lineRule="auto"/>
        <w:contextualSpacing/>
        <w:rPr>
          <w:rStyle w:val="None"/>
          <w:rFonts w:asciiTheme="minorHAnsi" w:hAnsiTheme="minorHAnsi" w:cstheme="minorHAnsi"/>
          <w:lang w:val="en-AU"/>
        </w:rPr>
      </w:pPr>
      <w:r w:rsidRPr="006968AA">
        <w:rPr>
          <w:rStyle w:val="None"/>
          <w:rFonts w:asciiTheme="minorHAnsi" w:hAnsiTheme="minorHAnsi" w:cstheme="minorHAnsi"/>
          <w:lang w:val="en-AU"/>
        </w:rPr>
        <w:t xml:space="preserve">To achieve this outcome, the Quality Indicators state the following </w:t>
      </w:r>
      <w:proofErr w:type="gramStart"/>
      <w:r w:rsidRPr="006968AA">
        <w:rPr>
          <w:rStyle w:val="None"/>
          <w:rFonts w:asciiTheme="minorHAnsi" w:hAnsiTheme="minorHAnsi" w:cstheme="minorHAnsi"/>
          <w:lang w:val="en-AU"/>
        </w:rPr>
        <w:t>should be demonstrated</w:t>
      </w:r>
      <w:proofErr w:type="gramEnd"/>
      <w:r w:rsidRPr="006968AA">
        <w:rPr>
          <w:rStyle w:val="None"/>
          <w:rFonts w:asciiTheme="minorHAnsi" w:hAnsiTheme="minorHAnsi" w:cstheme="minorHAnsi"/>
          <w:lang w:val="en-AU"/>
        </w:rPr>
        <w:t>:</w:t>
      </w:r>
    </w:p>
    <w:p w:rsidR="00FE1A5E" w:rsidRPr="006968AA" w:rsidRDefault="00FE1A5E" w:rsidP="00FF634B">
      <w:pPr>
        <w:pStyle w:val="ListParagraph"/>
        <w:numPr>
          <w:ilvl w:val="0"/>
          <w:numId w:val="34"/>
        </w:numPr>
        <w:pBdr>
          <w:top w:val="nil"/>
          <w:left w:val="nil"/>
          <w:bottom w:val="nil"/>
          <w:right w:val="nil"/>
          <w:between w:val="nil"/>
          <w:bar w:val="nil"/>
        </w:pBdr>
        <w:suppressAutoHyphens/>
        <w:spacing w:before="120" w:after="120"/>
        <w:rPr>
          <w:rFonts w:asciiTheme="minorHAnsi" w:hAnsiTheme="minorHAnsi" w:cstheme="minorHAnsi"/>
        </w:rPr>
      </w:pPr>
      <w:r w:rsidRPr="006968AA">
        <w:rPr>
          <w:rStyle w:val="None"/>
          <w:rFonts w:asciiTheme="minorHAnsi" w:hAnsiTheme="minorHAnsi" w:cstheme="minorHAnsi"/>
          <w:color w:val="000000"/>
          <w:u w:color="000000"/>
        </w:rPr>
        <w:t xml:space="preserve">Records clearly identify the medication and dosage required by each participant, including all information required </w:t>
      </w:r>
      <w:proofErr w:type="gramStart"/>
      <w:r w:rsidRPr="006968AA">
        <w:rPr>
          <w:rStyle w:val="None"/>
          <w:rFonts w:asciiTheme="minorHAnsi" w:hAnsiTheme="minorHAnsi" w:cstheme="minorHAnsi"/>
          <w:color w:val="000000"/>
          <w:u w:color="000000"/>
        </w:rPr>
        <w:t>to correctly identify</w:t>
      </w:r>
      <w:proofErr w:type="gramEnd"/>
      <w:r w:rsidRPr="006968AA">
        <w:rPr>
          <w:rStyle w:val="None"/>
          <w:rFonts w:asciiTheme="minorHAnsi" w:hAnsiTheme="minorHAnsi" w:cstheme="minorHAnsi"/>
          <w:color w:val="000000"/>
          <w:u w:color="000000"/>
        </w:rPr>
        <w:t xml:space="preserve"> the participant and to safely administer the medication.</w:t>
      </w:r>
    </w:p>
    <w:p w:rsidR="00FE1A5E" w:rsidRPr="006968AA" w:rsidRDefault="00FE1A5E" w:rsidP="00FF634B">
      <w:pPr>
        <w:pStyle w:val="ListParagraph"/>
        <w:numPr>
          <w:ilvl w:val="0"/>
          <w:numId w:val="34"/>
        </w:numPr>
        <w:pBdr>
          <w:top w:val="nil"/>
          <w:left w:val="nil"/>
          <w:bottom w:val="nil"/>
          <w:right w:val="nil"/>
          <w:between w:val="nil"/>
          <w:bar w:val="nil"/>
        </w:pBdr>
        <w:suppressAutoHyphens/>
        <w:spacing w:before="120" w:after="120"/>
        <w:rPr>
          <w:rFonts w:asciiTheme="minorHAnsi" w:hAnsiTheme="minorHAnsi" w:cstheme="minorHAnsi"/>
        </w:rPr>
      </w:pPr>
      <w:r w:rsidRPr="006968AA">
        <w:rPr>
          <w:rStyle w:val="None"/>
          <w:rFonts w:asciiTheme="minorHAnsi" w:hAnsiTheme="minorHAnsi" w:cstheme="minorHAnsi"/>
          <w:color w:val="000000"/>
          <w:u w:color="000000"/>
        </w:rPr>
        <w:t xml:space="preserve">All workers responsible for administering medication understand the effects and </w:t>
      </w:r>
      <w:proofErr w:type="gramStart"/>
      <w:r w:rsidRPr="006968AA">
        <w:rPr>
          <w:rStyle w:val="None"/>
          <w:rFonts w:asciiTheme="minorHAnsi" w:hAnsiTheme="minorHAnsi" w:cstheme="minorHAnsi"/>
          <w:color w:val="000000"/>
          <w:u w:color="000000"/>
        </w:rPr>
        <w:t>side-effects</w:t>
      </w:r>
      <w:proofErr w:type="gramEnd"/>
      <w:r w:rsidRPr="006968AA">
        <w:rPr>
          <w:rStyle w:val="None"/>
          <w:rFonts w:asciiTheme="minorHAnsi" w:hAnsiTheme="minorHAnsi" w:cstheme="minorHAnsi"/>
          <w:color w:val="000000"/>
          <w:u w:color="000000"/>
        </w:rPr>
        <w:t xml:space="preserve"> of the medication and the steps to take in the event of an incident involving medication.</w:t>
      </w:r>
    </w:p>
    <w:p w:rsidR="00FE1A5E" w:rsidRPr="006968AA" w:rsidRDefault="00FE1A5E" w:rsidP="00FF634B">
      <w:pPr>
        <w:pStyle w:val="ListParagraph"/>
        <w:numPr>
          <w:ilvl w:val="0"/>
          <w:numId w:val="34"/>
        </w:numPr>
        <w:pBdr>
          <w:top w:val="nil"/>
          <w:left w:val="nil"/>
          <w:bottom w:val="nil"/>
          <w:right w:val="nil"/>
          <w:between w:val="nil"/>
          <w:bar w:val="nil"/>
        </w:pBdr>
        <w:suppressAutoHyphens/>
        <w:spacing w:before="120" w:after="120"/>
        <w:rPr>
          <w:rStyle w:val="None"/>
          <w:rFonts w:asciiTheme="minorHAnsi" w:hAnsiTheme="minorHAnsi" w:cstheme="minorHAnsi"/>
        </w:rPr>
      </w:pPr>
      <w:r w:rsidRPr="006968AA">
        <w:rPr>
          <w:rStyle w:val="None"/>
          <w:rFonts w:asciiTheme="minorHAnsi" w:hAnsiTheme="minorHAnsi" w:cstheme="minorHAnsi"/>
          <w:color w:val="000000"/>
          <w:u w:color="000000"/>
        </w:rPr>
        <w:t xml:space="preserve">All medications are stored safely and securely, can be easily identified and differentiated, and </w:t>
      </w:r>
      <w:proofErr w:type="gramStart"/>
      <w:r w:rsidRPr="006968AA">
        <w:rPr>
          <w:rStyle w:val="None"/>
          <w:rFonts w:asciiTheme="minorHAnsi" w:hAnsiTheme="minorHAnsi" w:cstheme="minorHAnsi"/>
          <w:color w:val="000000"/>
          <w:u w:color="000000"/>
        </w:rPr>
        <w:t>are only accessed</w:t>
      </w:r>
      <w:proofErr w:type="gramEnd"/>
      <w:r w:rsidRPr="006968AA">
        <w:rPr>
          <w:rStyle w:val="None"/>
          <w:rFonts w:asciiTheme="minorHAnsi" w:hAnsiTheme="minorHAnsi" w:cstheme="minorHAnsi"/>
          <w:color w:val="000000"/>
          <w:u w:color="000000"/>
        </w:rPr>
        <w:t xml:space="preserve"> by appropriately trained workers. </w:t>
      </w:r>
    </w:p>
    <w:p w:rsidR="00FE1A5E" w:rsidRPr="006968AA" w:rsidRDefault="00FE1A5E" w:rsidP="0067621B">
      <w:pPr>
        <w:pStyle w:val="Heading"/>
        <w:rPr>
          <w:rStyle w:val="None"/>
          <w:rFonts w:asciiTheme="minorHAnsi" w:hAnsiTheme="minorHAnsi" w:cstheme="minorHAnsi"/>
          <w:color w:val="5F2E74"/>
          <w:u w:color="5F2E74"/>
          <w:lang w:val="en-AU"/>
        </w:rPr>
      </w:pPr>
      <w:r w:rsidRPr="006968AA">
        <w:rPr>
          <w:rStyle w:val="None"/>
          <w:rFonts w:asciiTheme="minorHAnsi" w:hAnsiTheme="minorHAnsi" w:cstheme="minorHAnsi"/>
          <w:color w:val="5F2E74"/>
          <w:u w:color="5F2E74"/>
          <w:lang w:val="en-AU"/>
        </w:rPr>
        <w:t>References</w:t>
      </w:r>
      <w:r w:rsidRPr="006968AA">
        <w:rPr>
          <w:rStyle w:val="None"/>
          <w:rFonts w:asciiTheme="minorHAnsi" w:hAnsiTheme="minorHAnsi" w:cstheme="minorHAnsi"/>
          <w:color w:val="5F2E74"/>
          <w:u w:color="5F2E74"/>
          <w:lang w:val="en-AU"/>
        </w:rPr>
        <w:tab/>
      </w:r>
    </w:p>
    <w:p w:rsidR="00FE1A5E" w:rsidRPr="006968AA" w:rsidRDefault="00FE1A5E" w:rsidP="00FE1A5E">
      <w:pPr>
        <w:pBdr>
          <w:top w:val="nil"/>
          <w:left w:val="nil"/>
          <w:bottom w:val="nil"/>
          <w:right w:val="nil"/>
          <w:between w:val="nil"/>
          <w:bar w:val="nil"/>
        </w:pBdr>
        <w:suppressAutoHyphens/>
        <w:spacing w:before="120" w:after="120"/>
        <w:rPr>
          <w:rFonts w:asciiTheme="minorHAnsi" w:hAnsiTheme="minorHAnsi" w:cstheme="minorHAnsi"/>
        </w:rPr>
      </w:pPr>
      <w:r w:rsidRPr="006968AA">
        <w:rPr>
          <w:rFonts w:asciiTheme="minorHAnsi" w:hAnsiTheme="minorHAnsi" w:cstheme="minorHAnsi"/>
        </w:rPr>
        <w:t xml:space="preserve">Australian Commission on Safety and Quality in Health Care (2019). </w:t>
      </w:r>
      <w:hyperlink r:id="rId12" w:history="1">
        <w:r w:rsidRPr="006968AA">
          <w:rPr>
            <w:rStyle w:val="Hyperlink1"/>
            <w:rFonts w:asciiTheme="minorHAnsi" w:hAnsiTheme="minorHAnsi" w:cstheme="minorHAnsi"/>
          </w:rPr>
          <w:t>Medication without harm WHO global patient safety challenge</w:t>
        </w:r>
      </w:hyperlink>
      <w:r w:rsidRPr="006968AA">
        <w:rPr>
          <w:rFonts w:asciiTheme="minorHAnsi" w:hAnsiTheme="minorHAnsi" w:cstheme="minorHAnsi"/>
        </w:rPr>
        <w:t xml:space="preserve">. </w:t>
      </w:r>
    </w:p>
    <w:p w:rsidR="00FE1A5E" w:rsidRPr="006968AA" w:rsidRDefault="00FE1A5E" w:rsidP="00FE1A5E">
      <w:pPr>
        <w:pBdr>
          <w:top w:val="nil"/>
          <w:left w:val="nil"/>
          <w:bottom w:val="nil"/>
          <w:right w:val="nil"/>
          <w:between w:val="nil"/>
          <w:bar w:val="nil"/>
        </w:pBdr>
        <w:suppressAutoHyphens/>
        <w:spacing w:before="120" w:after="120"/>
        <w:rPr>
          <w:rFonts w:asciiTheme="minorHAnsi" w:hAnsiTheme="minorHAnsi" w:cstheme="minorHAnsi"/>
        </w:rPr>
      </w:pPr>
      <w:r w:rsidRPr="006968AA">
        <w:rPr>
          <w:rFonts w:asciiTheme="minorHAnsi" w:hAnsiTheme="minorHAnsi" w:cstheme="minorHAnsi"/>
        </w:rPr>
        <w:t xml:space="preserve">Australian Department of Health (2020). </w:t>
      </w:r>
      <w:hyperlink r:id="rId13" w:history="1">
        <w:r w:rsidRPr="006968AA">
          <w:rPr>
            <w:rStyle w:val="Hyperlink0"/>
            <w:rFonts w:asciiTheme="minorHAnsi" w:hAnsiTheme="minorHAnsi" w:cstheme="minorHAnsi"/>
          </w:rPr>
          <w:t>Medicare Benefits Schedule item 900</w:t>
        </w:r>
      </w:hyperlink>
      <w:r w:rsidRPr="006968AA">
        <w:rPr>
          <w:rFonts w:asciiTheme="minorHAnsi" w:hAnsiTheme="minorHAnsi" w:cstheme="minorHAnsi"/>
        </w:rPr>
        <w:t xml:space="preserve">. </w:t>
      </w:r>
    </w:p>
    <w:p w:rsidR="00FE1A5E" w:rsidRPr="006968AA" w:rsidRDefault="00FE1A5E" w:rsidP="00FE1A5E">
      <w:pPr>
        <w:pBdr>
          <w:top w:val="nil"/>
          <w:left w:val="nil"/>
          <w:bottom w:val="nil"/>
          <w:right w:val="nil"/>
          <w:between w:val="nil"/>
          <w:bar w:val="nil"/>
        </w:pBdr>
        <w:suppressAutoHyphens/>
        <w:spacing w:before="120" w:after="120"/>
        <w:rPr>
          <w:rFonts w:asciiTheme="minorHAnsi" w:hAnsiTheme="minorHAnsi" w:cstheme="minorHAnsi"/>
        </w:rPr>
      </w:pPr>
      <w:r w:rsidRPr="006968AA">
        <w:rPr>
          <w:rFonts w:asciiTheme="minorHAnsi" w:hAnsiTheme="minorHAnsi" w:cstheme="minorHAnsi"/>
        </w:rPr>
        <w:t xml:space="preserve">Australian Department of Health (2020). </w:t>
      </w:r>
      <w:hyperlink r:id="rId14" w:history="1">
        <w:r w:rsidRPr="006968AA">
          <w:rPr>
            <w:rStyle w:val="Hyperlink"/>
            <w:rFonts w:asciiTheme="minorHAnsi" w:hAnsiTheme="minorHAnsi" w:cstheme="minorHAnsi"/>
          </w:rPr>
          <w:t>Home Medicines Review</w:t>
        </w:r>
      </w:hyperlink>
      <w:r w:rsidRPr="006968AA">
        <w:rPr>
          <w:rFonts w:asciiTheme="minorHAnsi" w:hAnsiTheme="minorHAnsi" w:cstheme="minorHAnsi"/>
        </w:rPr>
        <w:t>.</w:t>
      </w:r>
    </w:p>
    <w:p w:rsidR="00FE1A5E" w:rsidRPr="006968AA" w:rsidRDefault="00FE1A5E" w:rsidP="00FE1A5E">
      <w:pPr>
        <w:pBdr>
          <w:top w:val="nil"/>
          <w:left w:val="nil"/>
          <w:bottom w:val="nil"/>
          <w:right w:val="nil"/>
          <w:between w:val="nil"/>
          <w:bar w:val="nil"/>
        </w:pBdr>
        <w:suppressAutoHyphens/>
        <w:spacing w:before="120" w:after="120"/>
        <w:rPr>
          <w:rFonts w:asciiTheme="minorHAnsi" w:hAnsiTheme="minorHAnsi" w:cstheme="minorHAnsi"/>
        </w:rPr>
      </w:pPr>
      <w:r w:rsidRPr="006968AA">
        <w:rPr>
          <w:rFonts w:asciiTheme="minorHAnsi" w:hAnsiTheme="minorHAnsi" w:cstheme="minorHAnsi"/>
        </w:rPr>
        <w:t xml:space="preserve">Australian Government Aged Care Quality and Safeguards Commission (2020). </w:t>
      </w:r>
      <w:hyperlink r:id="rId15" w:history="1">
        <w:r w:rsidRPr="006968AA">
          <w:rPr>
            <w:rStyle w:val="Hyperlink2"/>
            <w:rFonts w:asciiTheme="minorHAnsi" w:hAnsiTheme="minorHAnsi" w:cstheme="minorHAnsi"/>
          </w:rPr>
          <w:t>Psychotropic Medications used in Australia information for aged care</w:t>
        </w:r>
      </w:hyperlink>
      <w:r w:rsidRPr="006968AA">
        <w:rPr>
          <w:rFonts w:asciiTheme="minorHAnsi" w:hAnsiTheme="minorHAnsi" w:cstheme="minorHAnsi"/>
        </w:rPr>
        <w:t>.</w:t>
      </w:r>
    </w:p>
    <w:p w:rsidR="00FE1A5E" w:rsidRPr="006968AA" w:rsidRDefault="00FE1A5E" w:rsidP="00FE1A5E">
      <w:pPr>
        <w:pBdr>
          <w:top w:val="nil"/>
          <w:left w:val="nil"/>
          <w:bottom w:val="nil"/>
          <w:right w:val="nil"/>
          <w:between w:val="nil"/>
          <w:bar w:val="nil"/>
        </w:pBdr>
        <w:suppressAutoHyphens/>
        <w:spacing w:before="120" w:after="120"/>
        <w:rPr>
          <w:rFonts w:asciiTheme="minorHAnsi" w:hAnsiTheme="minorHAnsi" w:cstheme="minorHAnsi"/>
        </w:rPr>
      </w:pPr>
      <w:r w:rsidRPr="006968AA">
        <w:rPr>
          <w:rFonts w:asciiTheme="minorHAnsi" w:hAnsiTheme="minorHAnsi" w:cstheme="minorHAnsi"/>
        </w:rPr>
        <w:lastRenderedPageBreak/>
        <w:t xml:space="preserve">Branford D, Gerrard D, </w:t>
      </w:r>
      <w:proofErr w:type="spellStart"/>
      <w:r w:rsidRPr="006968AA">
        <w:rPr>
          <w:rFonts w:asciiTheme="minorHAnsi" w:hAnsiTheme="minorHAnsi" w:cstheme="minorHAnsi"/>
        </w:rPr>
        <w:t>Saleem</w:t>
      </w:r>
      <w:proofErr w:type="spellEnd"/>
      <w:r w:rsidRPr="006968AA">
        <w:rPr>
          <w:rFonts w:asciiTheme="minorHAnsi" w:hAnsiTheme="minorHAnsi" w:cstheme="minorHAnsi"/>
        </w:rPr>
        <w:t xml:space="preserve"> N, Shaw C, Webster A. (2019). Stopping over-medication of people with an intellectual disability, autism or both (STOMP) in England part 2 – The story so far. Advances in Mental Health and Intellectual Disabilities, 13 (1): 41-51. </w:t>
      </w:r>
    </w:p>
    <w:p w:rsidR="00FE1A5E" w:rsidRPr="006968AA" w:rsidRDefault="00FE1A5E" w:rsidP="00FE1A5E">
      <w:pPr>
        <w:pBdr>
          <w:top w:val="nil"/>
          <w:left w:val="nil"/>
          <w:bottom w:val="nil"/>
          <w:right w:val="nil"/>
          <w:between w:val="nil"/>
          <w:bar w:val="nil"/>
        </w:pBdr>
        <w:suppressAutoHyphens/>
        <w:spacing w:before="120" w:after="120"/>
        <w:rPr>
          <w:rFonts w:asciiTheme="minorHAnsi" w:hAnsiTheme="minorHAnsi" w:cstheme="minorHAnsi"/>
        </w:rPr>
      </w:pPr>
      <w:r w:rsidRPr="006968AA">
        <w:rPr>
          <w:rFonts w:asciiTheme="minorHAnsi" w:hAnsiTheme="minorHAnsi" w:cstheme="minorHAnsi"/>
        </w:rPr>
        <w:t xml:space="preserve">Brett J, Daniels B, </w:t>
      </w:r>
      <w:proofErr w:type="spellStart"/>
      <w:r w:rsidRPr="006968AA">
        <w:rPr>
          <w:rFonts w:asciiTheme="minorHAnsi" w:hAnsiTheme="minorHAnsi" w:cstheme="minorHAnsi"/>
        </w:rPr>
        <w:t>Karanges</w:t>
      </w:r>
      <w:proofErr w:type="spellEnd"/>
      <w:r w:rsidRPr="006968AA">
        <w:rPr>
          <w:rFonts w:asciiTheme="minorHAnsi" w:hAnsiTheme="minorHAnsi" w:cstheme="minorHAnsi"/>
        </w:rPr>
        <w:t xml:space="preserve"> E, Buckley N, Schneider C, Nassir A et al. (2017). Psychotropic polypharmacy in Australia, 2006 to 2015: a descriptive cohort study. British Journal of Clinical Pharmacology, 2017, 83: 2581-8. </w:t>
      </w:r>
    </w:p>
    <w:p w:rsidR="00FE1A5E" w:rsidRPr="006968AA" w:rsidRDefault="00FE1A5E" w:rsidP="00FE1A5E">
      <w:pPr>
        <w:pBdr>
          <w:top w:val="nil"/>
          <w:left w:val="nil"/>
          <w:bottom w:val="nil"/>
          <w:right w:val="nil"/>
          <w:between w:val="nil"/>
          <w:bar w:val="nil"/>
        </w:pBdr>
        <w:suppressAutoHyphens/>
        <w:spacing w:before="120" w:after="120"/>
        <w:rPr>
          <w:rFonts w:asciiTheme="minorHAnsi" w:hAnsiTheme="minorHAnsi" w:cstheme="minorHAnsi"/>
        </w:rPr>
      </w:pPr>
      <w:r w:rsidRPr="00096EE8">
        <w:rPr>
          <w:rFonts w:asciiTheme="minorHAnsi" w:hAnsiTheme="minorHAnsi" w:cstheme="minorHAnsi"/>
          <w:lang w:val="fr-FR"/>
        </w:rPr>
        <w:t xml:space="preserve">Carmona-Huerta J, </w:t>
      </w:r>
      <w:proofErr w:type="spellStart"/>
      <w:r w:rsidRPr="00096EE8">
        <w:rPr>
          <w:rFonts w:asciiTheme="minorHAnsi" w:hAnsiTheme="minorHAnsi" w:cstheme="minorHAnsi"/>
          <w:lang w:val="fr-FR"/>
        </w:rPr>
        <w:t>Castiello</w:t>
      </w:r>
      <w:proofErr w:type="spellEnd"/>
      <w:r w:rsidRPr="00096EE8">
        <w:rPr>
          <w:rFonts w:asciiTheme="minorHAnsi" w:hAnsiTheme="minorHAnsi" w:cstheme="minorHAnsi"/>
          <w:lang w:val="fr-FR"/>
        </w:rPr>
        <w:t xml:space="preserve">-de </w:t>
      </w:r>
      <w:proofErr w:type="spellStart"/>
      <w:r w:rsidRPr="00096EE8">
        <w:rPr>
          <w:rFonts w:asciiTheme="minorHAnsi" w:hAnsiTheme="minorHAnsi" w:cstheme="minorHAnsi"/>
          <w:lang w:val="fr-FR"/>
        </w:rPr>
        <w:t>Obeso</w:t>
      </w:r>
      <w:proofErr w:type="spellEnd"/>
      <w:r w:rsidRPr="00096EE8">
        <w:rPr>
          <w:rFonts w:asciiTheme="minorHAnsi" w:hAnsiTheme="minorHAnsi" w:cstheme="minorHAnsi"/>
          <w:lang w:val="fr-FR"/>
        </w:rPr>
        <w:t xml:space="preserve"> S, Ramirez-</w:t>
      </w:r>
      <w:proofErr w:type="spellStart"/>
      <w:r w:rsidRPr="00096EE8">
        <w:rPr>
          <w:rFonts w:asciiTheme="minorHAnsi" w:hAnsiTheme="minorHAnsi" w:cstheme="minorHAnsi"/>
          <w:lang w:val="fr-FR"/>
        </w:rPr>
        <w:t>Palomino</w:t>
      </w:r>
      <w:proofErr w:type="spellEnd"/>
      <w:r w:rsidRPr="00096EE8">
        <w:rPr>
          <w:rFonts w:asciiTheme="minorHAnsi" w:hAnsiTheme="minorHAnsi" w:cstheme="minorHAnsi"/>
          <w:lang w:val="fr-FR"/>
        </w:rPr>
        <w:t xml:space="preserve"> J, Duran-Gutierrez R, </w:t>
      </w:r>
      <w:proofErr w:type="spellStart"/>
      <w:r w:rsidRPr="00096EE8">
        <w:rPr>
          <w:rFonts w:asciiTheme="minorHAnsi" w:hAnsiTheme="minorHAnsi" w:cstheme="minorHAnsi"/>
          <w:lang w:val="fr-FR"/>
        </w:rPr>
        <w:t>Cardona</w:t>
      </w:r>
      <w:proofErr w:type="spellEnd"/>
      <w:r w:rsidRPr="00096EE8">
        <w:rPr>
          <w:rFonts w:asciiTheme="minorHAnsi" w:hAnsiTheme="minorHAnsi" w:cstheme="minorHAnsi"/>
          <w:lang w:val="fr-FR"/>
        </w:rPr>
        <w:t xml:space="preserve">-Muller D, </w:t>
      </w:r>
      <w:proofErr w:type="spellStart"/>
      <w:r w:rsidRPr="00096EE8">
        <w:rPr>
          <w:rFonts w:asciiTheme="minorHAnsi" w:hAnsiTheme="minorHAnsi" w:cstheme="minorHAnsi"/>
          <w:lang w:val="fr-FR"/>
        </w:rPr>
        <w:t>Grover-Paez</w:t>
      </w:r>
      <w:proofErr w:type="spellEnd"/>
      <w:r w:rsidRPr="00096EE8">
        <w:rPr>
          <w:rFonts w:asciiTheme="minorHAnsi" w:hAnsiTheme="minorHAnsi" w:cstheme="minorHAnsi"/>
          <w:lang w:val="fr-FR"/>
        </w:rPr>
        <w:t xml:space="preserve"> F. et al. </w:t>
      </w:r>
      <w:r w:rsidRPr="006968AA">
        <w:rPr>
          <w:rFonts w:asciiTheme="minorHAnsi" w:hAnsiTheme="minorHAnsi" w:cstheme="minorHAnsi"/>
        </w:rPr>
        <w:t xml:space="preserve">(2019). Polypharmacy in a hospitalized psychiatric population: risk estimation and damage quantification. BMC Psychiatry, 19:78. </w:t>
      </w:r>
    </w:p>
    <w:p w:rsidR="00FE1A5E" w:rsidRPr="006968AA" w:rsidRDefault="00FE1A5E" w:rsidP="00FE1A5E">
      <w:pPr>
        <w:pBdr>
          <w:top w:val="nil"/>
          <w:left w:val="nil"/>
          <w:bottom w:val="nil"/>
          <w:right w:val="nil"/>
          <w:between w:val="nil"/>
          <w:bar w:val="nil"/>
        </w:pBdr>
        <w:suppressAutoHyphens/>
        <w:spacing w:before="120" w:after="120"/>
        <w:rPr>
          <w:rFonts w:asciiTheme="minorHAnsi" w:hAnsiTheme="minorHAnsi" w:cstheme="minorHAnsi"/>
        </w:rPr>
      </w:pPr>
      <w:r w:rsidRPr="006968AA">
        <w:rPr>
          <w:rFonts w:asciiTheme="minorHAnsi" w:hAnsiTheme="minorHAnsi" w:cstheme="minorHAnsi"/>
        </w:rPr>
        <w:t xml:space="preserve">Chitty K, Evans E, </w:t>
      </w:r>
      <w:proofErr w:type="spellStart"/>
      <w:r w:rsidRPr="006968AA">
        <w:rPr>
          <w:rFonts w:asciiTheme="minorHAnsi" w:hAnsiTheme="minorHAnsi" w:cstheme="minorHAnsi"/>
        </w:rPr>
        <w:t>Torr</w:t>
      </w:r>
      <w:proofErr w:type="spellEnd"/>
      <w:r w:rsidRPr="006968AA">
        <w:rPr>
          <w:rFonts w:asciiTheme="minorHAnsi" w:hAnsiTheme="minorHAnsi" w:cstheme="minorHAnsi"/>
        </w:rPr>
        <w:t xml:space="preserve"> J, </w:t>
      </w:r>
      <w:proofErr w:type="spellStart"/>
      <w:r w:rsidRPr="006968AA">
        <w:rPr>
          <w:rFonts w:asciiTheme="minorHAnsi" w:hAnsiTheme="minorHAnsi" w:cstheme="minorHAnsi"/>
        </w:rPr>
        <w:t>Iacono</w:t>
      </w:r>
      <w:proofErr w:type="spellEnd"/>
      <w:r w:rsidRPr="006968AA">
        <w:rPr>
          <w:rFonts w:asciiTheme="minorHAnsi" w:hAnsiTheme="minorHAnsi" w:cstheme="minorHAnsi"/>
        </w:rPr>
        <w:t xml:space="preserve"> T, </w:t>
      </w:r>
      <w:proofErr w:type="spellStart"/>
      <w:r w:rsidRPr="006968AA">
        <w:rPr>
          <w:rFonts w:asciiTheme="minorHAnsi" w:hAnsiTheme="minorHAnsi" w:cstheme="minorHAnsi"/>
        </w:rPr>
        <w:t>Brodaty</w:t>
      </w:r>
      <w:proofErr w:type="spellEnd"/>
      <w:r w:rsidRPr="006968AA">
        <w:rPr>
          <w:rFonts w:asciiTheme="minorHAnsi" w:hAnsiTheme="minorHAnsi" w:cstheme="minorHAnsi"/>
        </w:rPr>
        <w:t xml:space="preserve"> H, </w:t>
      </w:r>
      <w:proofErr w:type="spellStart"/>
      <w:r w:rsidRPr="006968AA">
        <w:rPr>
          <w:rFonts w:asciiTheme="minorHAnsi" w:hAnsiTheme="minorHAnsi" w:cstheme="minorHAnsi"/>
        </w:rPr>
        <w:t>Sachdev</w:t>
      </w:r>
      <w:proofErr w:type="spellEnd"/>
      <w:r w:rsidRPr="006968AA">
        <w:rPr>
          <w:rFonts w:asciiTheme="minorHAnsi" w:hAnsiTheme="minorHAnsi" w:cstheme="minorHAnsi"/>
        </w:rPr>
        <w:t xml:space="preserve"> P et al. (2016). Central nervous system medication use in older adults with intellectual disability: results from the successful ageing in intellectual disability study. Australian and New Zealand journal of psychiatry, 50 (4): 352-62. DOI: 10.1177/0004867415587951</w:t>
      </w:r>
    </w:p>
    <w:p w:rsidR="00FE1A5E" w:rsidRPr="006968AA" w:rsidRDefault="00FE1A5E" w:rsidP="00FE1A5E">
      <w:pPr>
        <w:pBdr>
          <w:top w:val="nil"/>
          <w:left w:val="nil"/>
          <w:bottom w:val="nil"/>
          <w:right w:val="nil"/>
          <w:between w:val="nil"/>
          <w:bar w:val="nil"/>
        </w:pBdr>
        <w:suppressAutoHyphens/>
        <w:spacing w:before="120" w:after="120"/>
        <w:rPr>
          <w:rFonts w:asciiTheme="minorHAnsi" w:hAnsiTheme="minorHAnsi" w:cstheme="minorHAnsi"/>
        </w:rPr>
      </w:pPr>
      <w:r w:rsidRPr="006968AA">
        <w:rPr>
          <w:rFonts w:asciiTheme="minorHAnsi" w:hAnsiTheme="minorHAnsi" w:cstheme="minorHAnsi"/>
        </w:rPr>
        <w:t xml:space="preserve">Deb S, Kwok H, </w:t>
      </w:r>
      <w:proofErr w:type="spellStart"/>
      <w:r w:rsidRPr="006968AA">
        <w:rPr>
          <w:rFonts w:asciiTheme="minorHAnsi" w:hAnsiTheme="minorHAnsi" w:cstheme="minorHAnsi"/>
        </w:rPr>
        <w:t>Bertelli</w:t>
      </w:r>
      <w:proofErr w:type="spellEnd"/>
      <w:r w:rsidRPr="006968AA">
        <w:rPr>
          <w:rFonts w:asciiTheme="minorHAnsi" w:hAnsiTheme="minorHAnsi" w:cstheme="minorHAnsi"/>
        </w:rPr>
        <w:t xml:space="preserve"> M, Salvador-</w:t>
      </w:r>
      <w:proofErr w:type="spellStart"/>
      <w:r w:rsidRPr="006968AA">
        <w:rPr>
          <w:rFonts w:asciiTheme="minorHAnsi" w:hAnsiTheme="minorHAnsi" w:cstheme="minorHAnsi"/>
        </w:rPr>
        <w:t>Carulla</w:t>
      </w:r>
      <w:proofErr w:type="spellEnd"/>
      <w:r w:rsidRPr="006968AA">
        <w:rPr>
          <w:rFonts w:asciiTheme="minorHAnsi" w:hAnsiTheme="minorHAnsi" w:cstheme="minorHAnsi"/>
        </w:rPr>
        <w:t xml:space="preserve"> L, Bradley E, </w:t>
      </w:r>
      <w:proofErr w:type="spellStart"/>
      <w:r w:rsidRPr="006968AA">
        <w:rPr>
          <w:rFonts w:asciiTheme="minorHAnsi" w:hAnsiTheme="minorHAnsi" w:cstheme="minorHAnsi"/>
        </w:rPr>
        <w:t>Torr</w:t>
      </w:r>
      <w:proofErr w:type="spellEnd"/>
      <w:r w:rsidRPr="006968AA">
        <w:rPr>
          <w:rFonts w:asciiTheme="minorHAnsi" w:hAnsiTheme="minorHAnsi" w:cstheme="minorHAnsi"/>
        </w:rPr>
        <w:t xml:space="preserve"> J. (2009). International guide to prescribing psychotropic medication for the management of problem behaviours in adults with intellectual disabilities. World Psychiatry, 8: 181-6.</w:t>
      </w:r>
    </w:p>
    <w:p w:rsidR="00FE1A5E" w:rsidRPr="006968AA" w:rsidRDefault="00FE1A5E" w:rsidP="00FE1A5E">
      <w:pPr>
        <w:pBdr>
          <w:top w:val="nil"/>
          <w:left w:val="nil"/>
          <w:bottom w:val="nil"/>
          <w:right w:val="nil"/>
          <w:between w:val="nil"/>
          <w:bar w:val="nil"/>
        </w:pBdr>
        <w:suppressAutoHyphens/>
        <w:spacing w:before="120" w:after="120"/>
        <w:rPr>
          <w:rFonts w:asciiTheme="minorHAnsi" w:hAnsiTheme="minorHAnsi" w:cstheme="minorHAnsi"/>
        </w:rPr>
      </w:pPr>
      <w:r w:rsidRPr="006968AA">
        <w:rPr>
          <w:rFonts w:asciiTheme="minorHAnsi" w:hAnsiTheme="minorHAnsi" w:cstheme="minorHAnsi"/>
        </w:rPr>
        <w:t xml:space="preserve">Deb S, Unwin G, Deb T. (2015). Characteristics and the trajectory of psychotropic medication use in general and antipsychotics in particular among adults with an intellectual disability who exhibit aggressive behaviour. Journal of Intellectual Disability Research, 59 (1): 11-25. </w:t>
      </w:r>
    </w:p>
    <w:p w:rsidR="00FE1A5E" w:rsidRPr="006968AA" w:rsidRDefault="00FE1A5E" w:rsidP="00FE1A5E">
      <w:pPr>
        <w:pBdr>
          <w:top w:val="nil"/>
          <w:left w:val="nil"/>
          <w:bottom w:val="nil"/>
          <w:right w:val="nil"/>
          <w:between w:val="nil"/>
          <w:bar w:val="nil"/>
        </w:pBdr>
        <w:suppressAutoHyphens/>
        <w:spacing w:before="120" w:after="120"/>
        <w:rPr>
          <w:rFonts w:asciiTheme="minorHAnsi" w:hAnsiTheme="minorHAnsi" w:cstheme="minorHAnsi"/>
        </w:rPr>
      </w:pPr>
      <w:r w:rsidRPr="006968AA">
        <w:rPr>
          <w:rFonts w:asciiTheme="minorHAnsi" w:hAnsiTheme="minorHAnsi" w:cstheme="minorHAnsi"/>
        </w:rPr>
        <w:t xml:space="preserve">Erickson S, </w:t>
      </w:r>
      <w:proofErr w:type="spellStart"/>
      <w:r w:rsidRPr="006968AA">
        <w:rPr>
          <w:rFonts w:asciiTheme="minorHAnsi" w:hAnsiTheme="minorHAnsi" w:cstheme="minorHAnsi"/>
        </w:rPr>
        <w:t>Nicaj</w:t>
      </w:r>
      <w:proofErr w:type="spellEnd"/>
      <w:r w:rsidRPr="006968AA">
        <w:rPr>
          <w:rFonts w:asciiTheme="minorHAnsi" w:hAnsiTheme="minorHAnsi" w:cstheme="minorHAnsi"/>
        </w:rPr>
        <w:t xml:space="preserve"> D, Barron S. (2018). Complexity of medication regimens of people with intellectual and developmental disabilities. Journal of Intellectual and developmental Disability, 43 (3): 351-61. </w:t>
      </w:r>
    </w:p>
    <w:p w:rsidR="00FE1A5E" w:rsidRPr="006968AA" w:rsidRDefault="00FE1A5E" w:rsidP="00FE1A5E">
      <w:pPr>
        <w:pBdr>
          <w:top w:val="nil"/>
          <w:left w:val="nil"/>
          <w:bottom w:val="nil"/>
          <w:right w:val="nil"/>
          <w:between w:val="nil"/>
          <w:bar w:val="nil"/>
        </w:pBdr>
        <w:suppressAutoHyphens/>
        <w:spacing w:before="120" w:after="120"/>
        <w:rPr>
          <w:rFonts w:asciiTheme="minorHAnsi" w:hAnsiTheme="minorHAnsi" w:cstheme="minorHAnsi"/>
        </w:rPr>
      </w:pPr>
      <w:proofErr w:type="spellStart"/>
      <w:r w:rsidRPr="006968AA">
        <w:rPr>
          <w:rFonts w:asciiTheme="minorHAnsi" w:hAnsiTheme="minorHAnsi" w:cstheme="minorHAnsi"/>
        </w:rPr>
        <w:t>Gallego</w:t>
      </w:r>
      <w:proofErr w:type="spellEnd"/>
      <w:r w:rsidRPr="006968AA">
        <w:rPr>
          <w:rFonts w:asciiTheme="minorHAnsi" w:hAnsiTheme="minorHAnsi" w:cstheme="minorHAnsi"/>
        </w:rPr>
        <w:t xml:space="preserve"> J, Nielson J, </w:t>
      </w:r>
      <w:proofErr w:type="spellStart"/>
      <w:r w:rsidRPr="006968AA">
        <w:rPr>
          <w:rFonts w:asciiTheme="minorHAnsi" w:hAnsiTheme="minorHAnsi" w:cstheme="minorHAnsi"/>
        </w:rPr>
        <w:t>Hert</w:t>
      </w:r>
      <w:proofErr w:type="spellEnd"/>
      <w:r w:rsidRPr="006968AA">
        <w:rPr>
          <w:rFonts w:asciiTheme="minorHAnsi" w:hAnsiTheme="minorHAnsi" w:cstheme="minorHAnsi"/>
        </w:rPr>
        <w:t xml:space="preserve"> M, Kane J, </w:t>
      </w:r>
      <w:proofErr w:type="spellStart"/>
      <w:r w:rsidRPr="006968AA">
        <w:rPr>
          <w:rFonts w:asciiTheme="minorHAnsi" w:hAnsiTheme="minorHAnsi" w:cstheme="minorHAnsi"/>
        </w:rPr>
        <w:t>Correll</w:t>
      </w:r>
      <w:proofErr w:type="spellEnd"/>
      <w:r w:rsidRPr="006968AA">
        <w:rPr>
          <w:rFonts w:asciiTheme="minorHAnsi" w:hAnsiTheme="minorHAnsi" w:cstheme="minorHAnsi"/>
        </w:rPr>
        <w:t xml:space="preserve"> C. (2012). Safety and tolerability of antipsychotic polypharmacy. Expert opinion on Drug Safety, 11 (4): 527-42. </w:t>
      </w:r>
    </w:p>
    <w:p w:rsidR="00FE1A5E" w:rsidRPr="006968AA" w:rsidRDefault="00FE1A5E" w:rsidP="00FE1A5E">
      <w:pPr>
        <w:pBdr>
          <w:top w:val="nil"/>
          <w:left w:val="nil"/>
          <w:bottom w:val="nil"/>
          <w:right w:val="nil"/>
          <w:between w:val="nil"/>
          <w:bar w:val="nil"/>
        </w:pBdr>
        <w:suppressAutoHyphens/>
        <w:spacing w:before="120" w:after="120"/>
        <w:rPr>
          <w:rFonts w:asciiTheme="minorHAnsi" w:hAnsiTheme="minorHAnsi" w:cstheme="minorHAnsi"/>
        </w:rPr>
      </w:pPr>
      <w:proofErr w:type="spellStart"/>
      <w:r w:rsidRPr="006968AA">
        <w:rPr>
          <w:rFonts w:asciiTheme="minorHAnsi" w:hAnsiTheme="minorHAnsi" w:cstheme="minorHAnsi"/>
        </w:rPr>
        <w:t>Haider</w:t>
      </w:r>
      <w:proofErr w:type="spellEnd"/>
      <w:r w:rsidRPr="006968AA">
        <w:rPr>
          <w:rFonts w:asciiTheme="minorHAnsi" w:hAnsiTheme="minorHAnsi" w:cstheme="minorHAnsi"/>
        </w:rPr>
        <w:t xml:space="preserve"> S, </w:t>
      </w:r>
      <w:proofErr w:type="spellStart"/>
      <w:r w:rsidRPr="006968AA">
        <w:rPr>
          <w:rFonts w:asciiTheme="minorHAnsi" w:hAnsiTheme="minorHAnsi" w:cstheme="minorHAnsi"/>
        </w:rPr>
        <w:t>Anzari</w:t>
      </w:r>
      <w:proofErr w:type="spellEnd"/>
      <w:r w:rsidRPr="006968AA">
        <w:rPr>
          <w:rFonts w:asciiTheme="minorHAnsi" w:hAnsiTheme="minorHAnsi" w:cstheme="minorHAnsi"/>
        </w:rPr>
        <w:t xml:space="preserve"> Z, Vaughan L, Matters H, Emerson E. (2014). Prevalence and factors associated with polypharmacy in Victorian adults with intellectual disability. Research in Developmental Disabilities, 35 (11): 3071-80. </w:t>
      </w:r>
    </w:p>
    <w:p w:rsidR="00FE1A5E" w:rsidRPr="006968AA" w:rsidRDefault="00FE1A5E" w:rsidP="00FE1A5E">
      <w:pPr>
        <w:pBdr>
          <w:top w:val="nil"/>
          <w:left w:val="nil"/>
          <w:bottom w:val="nil"/>
          <w:right w:val="nil"/>
          <w:between w:val="nil"/>
          <w:bar w:val="nil"/>
        </w:pBdr>
        <w:suppressAutoHyphens/>
        <w:spacing w:before="120" w:after="120"/>
        <w:rPr>
          <w:rFonts w:asciiTheme="minorHAnsi" w:hAnsiTheme="minorHAnsi" w:cstheme="minorHAnsi"/>
        </w:rPr>
      </w:pPr>
      <w:proofErr w:type="spellStart"/>
      <w:r w:rsidRPr="006968AA">
        <w:rPr>
          <w:rFonts w:asciiTheme="minorHAnsi" w:hAnsiTheme="minorHAnsi" w:cstheme="minorHAnsi"/>
        </w:rPr>
        <w:t>Hert</w:t>
      </w:r>
      <w:proofErr w:type="spellEnd"/>
      <w:r w:rsidRPr="006968AA">
        <w:rPr>
          <w:rFonts w:asciiTheme="minorHAnsi" w:hAnsiTheme="minorHAnsi" w:cstheme="minorHAnsi"/>
        </w:rPr>
        <w:t xml:space="preserve"> M, </w:t>
      </w:r>
      <w:proofErr w:type="spellStart"/>
      <w:r w:rsidRPr="006968AA">
        <w:rPr>
          <w:rFonts w:asciiTheme="minorHAnsi" w:hAnsiTheme="minorHAnsi" w:cstheme="minorHAnsi"/>
        </w:rPr>
        <w:t>Detraux</w:t>
      </w:r>
      <w:proofErr w:type="spellEnd"/>
      <w:r w:rsidRPr="006968AA">
        <w:rPr>
          <w:rFonts w:asciiTheme="minorHAnsi" w:hAnsiTheme="minorHAnsi" w:cstheme="minorHAnsi"/>
        </w:rPr>
        <w:t xml:space="preserve"> J, van </w:t>
      </w:r>
      <w:proofErr w:type="spellStart"/>
      <w:r w:rsidRPr="006968AA">
        <w:rPr>
          <w:rFonts w:asciiTheme="minorHAnsi" w:hAnsiTheme="minorHAnsi" w:cstheme="minorHAnsi"/>
        </w:rPr>
        <w:t>Winkel</w:t>
      </w:r>
      <w:proofErr w:type="spellEnd"/>
      <w:r w:rsidRPr="006968AA">
        <w:rPr>
          <w:rFonts w:asciiTheme="minorHAnsi" w:hAnsiTheme="minorHAnsi" w:cstheme="minorHAnsi"/>
        </w:rPr>
        <w:t xml:space="preserve"> R, Yu W, </w:t>
      </w:r>
      <w:proofErr w:type="spellStart"/>
      <w:r w:rsidRPr="006968AA">
        <w:rPr>
          <w:rFonts w:asciiTheme="minorHAnsi" w:hAnsiTheme="minorHAnsi" w:cstheme="minorHAnsi"/>
        </w:rPr>
        <w:t>Correll</w:t>
      </w:r>
      <w:proofErr w:type="spellEnd"/>
      <w:r w:rsidRPr="006968AA">
        <w:rPr>
          <w:rFonts w:asciiTheme="minorHAnsi" w:hAnsiTheme="minorHAnsi" w:cstheme="minorHAnsi"/>
        </w:rPr>
        <w:t xml:space="preserve"> C. (2012). Metabolic and cardiovascular adverse effects associated with antipsychotic drugs. Nature, 8: 114-26.</w:t>
      </w:r>
    </w:p>
    <w:p w:rsidR="00FE1A5E" w:rsidRPr="006968AA" w:rsidRDefault="00FE1A5E" w:rsidP="00FE1A5E">
      <w:pPr>
        <w:pBdr>
          <w:top w:val="nil"/>
          <w:left w:val="nil"/>
          <w:bottom w:val="nil"/>
          <w:right w:val="nil"/>
          <w:between w:val="nil"/>
          <w:bar w:val="nil"/>
        </w:pBdr>
        <w:suppressAutoHyphens/>
        <w:spacing w:before="120" w:after="120"/>
        <w:rPr>
          <w:rFonts w:asciiTheme="minorHAnsi" w:hAnsiTheme="minorHAnsi" w:cstheme="minorHAnsi"/>
        </w:rPr>
      </w:pPr>
      <w:proofErr w:type="spellStart"/>
      <w:r w:rsidRPr="006968AA">
        <w:rPr>
          <w:rFonts w:asciiTheme="minorHAnsi" w:hAnsiTheme="minorHAnsi" w:cstheme="minorHAnsi"/>
        </w:rPr>
        <w:t>Leendertse</w:t>
      </w:r>
      <w:proofErr w:type="spellEnd"/>
      <w:r w:rsidRPr="006968AA">
        <w:rPr>
          <w:rFonts w:asciiTheme="minorHAnsi" w:hAnsiTheme="minorHAnsi" w:cstheme="minorHAnsi"/>
        </w:rPr>
        <w:t xml:space="preserve"> A, Egberts A, Stoker L, van den </w:t>
      </w:r>
      <w:proofErr w:type="spellStart"/>
      <w:r w:rsidRPr="006968AA">
        <w:rPr>
          <w:rFonts w:asciiTheme="minorHAnsi" w:hAnsiTheme="minorHAnsi" w:cstheme="minorHAnsi"/>
        </w:rPr>
        <w:t>Bemt</w:t>
      </w:r>
      <w:proofErr w:type="spellEnd"/>
      <w:r w:rsidRPr="006968AA">
        <w:rPr>
          <w:rFonts w:asciiTheme="minorHAnsi" w:hAnsiTheme="minorHAnsi" w:cstheme="minorHAnsi"/>
        </w:rPr>
        <w:t xml:space="preserve"> P. (2008). Frequency of and risk factors for preventable medication-related hospital admissions in the Netherlands. Archive of Internal Medicine, 168 (17): 1890-6.</w:t>
      </w:r>
    </w:p>
    <w:p w:rsidR="00FE1A5E" w:rsidRPr="006968AA" w:rsidRDefault="00FE1A5E" w:rsidP="00FE1A5E">
      <w:pPr>
        <w:pBdr>
          <w:top w:val="nil"/>
          <w:left w:val="nil"/>
          <w:bottom w:val="nil"/>
          <w:right w:val="nil"/>
          <w:between w:val="nil"/>
          <w:bar w:val="nil"/>
        </w:pBdr>
        <w:suppressAutoHyphens/>
        <w:spacing w:before="120" w:after="120"/>
        <w:rPr>
          <w:rFonts w:asciiTheme="minorHAnsi" w:hAnsiTheme="minorHAnsi" w:cstheme="minorHAnsi"/>
        </w:rPr>
      </w:pPr>
      <w:proofErr w:type="spellStart"/>
      <w:r w:rsidRPr="006968AA">
        <w:rPr>
          <w:rFonts w:asciiTheme="minorHAnsi" w:hAnsiTheme="minorHAnsi" w:cstheme="minorHAnsi"/>
        </w:rPr>
        <w:t>Lunsky</w:t>
      </w:r>
      <w:proofErr w:type="spellEnd"/>
      <w:r w:rsidRPr="006968AA">
        <w:rPr>
          <w:rFonts w:asciiTheme="minorHAnsi" w:hAnsiTheme="minorHAnsi" w:cstheme="minorHAnsi"/>
        </w:rPr>
        <w:t xml:space="preserve"> Y, Modi M. (2018). Predictors of psychotropic polypharmacy among outpatients with psychiatric disorders and intellectual disability. Psychiatric Services, 9 (2): 242-6. </w:t>
      </w:r>
    </w:p>
    <w:p w:rsidR="00FE1A5E" w:rsidRPr="006968AA" w:rsidRDefault="00FE1A5E" w:rsidP="00FE1A5E">
      <w:pPr>
        <w:pBdr>
          <w:top w:val="nil"/>
          <w:left w:val="nil"/>
          <w:bottom w:val="nil"/>
          <w:right w:val="nil"/>
          <w:between w:val="nil"/>
          <w:bar w:val="nil"/>
        </w:pBdr>
        <w:suppressAutoHyphens/>
        <w:spacing w:before="120" w:after="120"/>
        <w:rPr>
          <w:rFonts w:asciiTheme="minorHAnsi" w:hAnsiTheme="minorHAnsi" w:cstheme="minorHAnsi"/>
        </w:rPr>
      </w:pPr>
      <w:proofErr w:type="spellStart"/>
      <w:r w:rsidRPr="006968AA">
        <w:rPr>
          <w:rFonts w:asciiTheme="minorHAnsi" w:hAnsiTheme="minorHAnsi" w:cstheme="minorHAnsi"/>
        </w:rPr>
        <w:t>Mangin</w:t>
      </w:r>
      <w:proofErr w:type="spellEnd"/>
      <w:r w:rsidRPr="006968AA">
        <w:rPr>
          <w:rFonts w:asciiTheme="minorHAnsi" w:hAnsiTheme="minorHAnsi" w:cstheme="minorHAnsi"/>
        </w:rPr>
        <w:t xml:space="preserve"> D, </w:t>
      </w:r>
      <w:proofErr w:type="spellStart"/>
      <w:r w:rsidRPr="006968AA">
        <w:rPr>
          <w:rFonts w:asciiTheme="minorHAnsi" w:hAnsiTheme="minorHAnsi" w:cstheme="minorHAnsi"/>
        </w:rPr>
        <w:t>Bahat</w:t>
      </w:r>
      <w:proofErr w:type="spellEnd"/>
      <w:r w:rsidRPr="006968AA">
        <w:rPr>
          <w:rFonts w:asciiTheme="minorHAnsi" w:hAnsiTheme="minorHAnsi" w:cstheme="minorHAnsi"/>
        </w:rPr>
        <w:t xml:space="preserve"> G, </w:t>
      </w:r>
      <w:proofErr w:type="spellStart"/>
      <w:r w:rsidRPr="006968AA">
        <w:rPr>
          <w:rFonts w:asciiTheme="minorHAnsi" w:hAnsiTheme="minorHAnsi" w:cstheme="minorHAnsi"/>
        </w:rPr>
        <w:t>Golomb</w:t>
      </w:r>
      <w:proofErr w:type="spellEnd"/>
      <w:r w:rsidRPr="006968AA">
        <w:rPr>
          <w:rFonts w:asciiTheme="minorHAnsi" w:hAnsiTheme="minorHAnsi" w:cstheme="minorHAnsi"/>
        </w:rPr>
        <w:t xml:space="preserve"> B, </w:t>
      </w:r>
      <w:proofErr w:type="spellStart"/>
      <w:r w:rsidRPr="006968AA">
        <w:rPr>
          <w:rFonts w:asciiTheme="minorHAnsi" w:hAnsiTheme="minorHAnsi" w:cstheme="minorHAnsi"/>
        </w:rPr>
        <w:t>Mallery</w:t>
      </w:r>
      <w:proofErr w:type="spellEnd"/>
      <w:r w:rsidRPr="006968AA">
        <w:rPr>
          <w:rFonts w:asciiTheme="minorHAnsi" w:hAnsiTheme="minorHAnsi" w:cstheme="minorHAnsi"/>
        </w:rPr>
        <w:t xml:space="preserve"> L, </w:t>
      </w:r>
      <w:proofErr w:type="spellStart"/>
      <w:r w:rsidRPr="006968AA">
        <w:rPr>
          <w:rFonts w:asciiTheme="minorHAnsi" w:hAnsiTheme="minorHAnsi" w:cstheme="minorHAnsi"/>
        </w:rPr>
        <w:t>Moorhouse</w:t>
      </w:r>
      <w:proofErr w:type="spellEnd"/>
      <w:r w:rsidRPr="006968AA">
        <w:rPr>
          <w:rFonts w:asciiTheme="minorHAnsi" w:hAnsiTheme="minorHAnsi" w:cstheme="minorHAnsi"/>
        </w:rPr>
        <w:t xml:space="preserve"> P, </w:t>
      </w:r>
      <w:proofErr w:type="spellStart"/>
      <w:r w:rsidRPr="006968AA">
        <w:rPr>
          <w:rFonts w:asciiTheme="minorHAnsi" w:hAnsiTheme="minorHAnsi" w:cstheme="minorHAnsi"/>
        </w:rPr>
        <w:t>Onder</w:t>
      </w:r>
      <w:proofErr w:type="spellEnd"/>
      <w:r w:rsidRPr="006968AA">
        <w:rPr>
          <w:rFonts w:asciiTheme="minorHAnsi" w:hAnsiTheme="minorHAnsi" w:cstheme="minorHAnsi"/>
        </w:rPr>
        <w:t xml:space="preserve"> G. (2018). </w:t>
      </w:r>
      <w:hyperlink r:id="rId16" w:history="1">
        <w:r w:rsidRPr="006968AA">
          <w:rPr>
            <w:rStyle w:val="Hyperlink0"/>
            <w:rFonts w:asciiTheme="minorHAnsi" w:hAnsiTheme="minorHAnsi" w:cstheme="minorHAnsi"/>
          </w:rPr>
          <w:t>International group for reducing inappropriate medication use and polypharmacy (IGRIMUP). Position statement and 10 recommendations for action</w:t>
        </w:r>
      </w:hyperlink>
      <w:r w:rsidRPr="006968AA">
        <w:rPr>
          <w:rFonts w:asciiTheme="minorHAnsi" w:hAnsiTheme="minorHAnsi" w:cstheme="minorHAnsi"/>
        </w:rPr>
        <w:t xml:space="preserve">. Drugs and Ageing, 35: 575-87. </w:t>
      </w:r>
      <w:proofErr w:type="spellStart"/>
      <w:r w:rsidRPr="006968AA">
        <w:rPr>
          <w:rFonts w:asciiTheme="minorHAnsi" w:hAnsiTheme="minorHAnsi" w:cstheme="minorHAnsi"/>
        </w:rPr>
        <w:t>Doi</w:t>
      </w:r>
      <w:proofErr w:type="spellEnd"/>
      <w:r w:rsidRPr="006968AA">
        <w:rPr>
          <w:rFonts w:asciiTheme="minorHAnsi" w:hAnsiTheme="minorHAnsi" w:cstheme="minorHAnsi"/>
        </w:rPr>
        <w:t xml:space="preserve">: </w:t>
      </w:r>
    </w:p>
    <w:p w:rsidR="00FE1A5E" w:rsidRPr="006968AA" w:rsidRDefault="00FE1A5E" w:rsidP="00FE1A5E">
      <w:pPr>
        <w:pBdr>
          <w:top w:val="nil"/>
          <w:left w:val="nil"/>
          <w:bottom w:val="nil"/>
          <w:right w:val="nil"/>
          <w:between w:val="nil"/>
          <w:bar w:val="nil"/>
        </w:pBdr>
        <w:suppressAutoHyphens/>
        <w:spacing w:before="120" w:after="120"/>
        <w:rPr>
          <w:rFonts w:asciiTheme="minorHAnsi" w:hAnsiTheme="minorHAnsi" w:cstheme="minorHAnsi"/>
        </w:rPr>
      </w:pPr>
      <w:r w:rsidRPr="006968AA">
        <w:rPr>
          <w:rFonts w:asciiTheme="minorHAnsi" w:hAnsiTheme="minorHAnsi" w:cstheme="minorHAnsi"/>
        </w:rPr>
        <w:t xml:space="preserve">Murray M, Hsia Y, Glaser K, </w:t>
      </w:r>
      <w:proofErr w:type="spellStart"/>
      <w:r w:rsidRPr="006968AA">
        <w:rPr>
          <w:rFonts w:asciiTheme="minorHAnsi" w:hAnsiTheme="minorHAnsi" w:cstheme="minorHAnsi"/>
        </w:rPr>
        <w:t>Simonoff</w:t>
      </w:r>
      <w:proofErr w:type="spellEnd"/>
      <w:r w:rsidRPr="006968AA">
        <w:rPr>
          <w:rFonts w:asciiTheme="minorHAnsi" w:hAnsiTheme="minorHAnsi" w:cstheme="minorHAnsi"/>
        </w:rPr>
        <w:t xml:space="preserve"> E, Murphy D, </w:t>
      </w:r>
      <w:proofErr w:type="spellStart"/>
      <w:r w:rsidRPr="006968AA">
        <w:rPr>
          <w:rFonts w:asciiTheme="minorHAnsi" w:hAnsiTheme="minorHAnsi" w:cstheme="minorHAnsi"/>
        </w:rPr>
        <w:t>Asherson</w:t>
      </w:r>
      <w:proofErr w:type="spellEnd"/>
      <w:r w:rsidRPr="006968AA">
        <w:rPr>
          <w:rFonts w:asciiTheme="minorHAnsi" w:hAnsiTheme="minorHAnsi" w:cstheme="minorHAnsi"/>
        </w:rPr>
        <w:t xml:space="preserve"> P. (2014). Pharmacological treatments prescribed to people with autism spectrum disorder (ASD) in primary health care. Psychopharmacology, 231: 1011-21. DOI 10.1007/s00213-013-3140-7 </w:t>
      </w:r>
    </w:p>
    <w:p w:rsidR="00FE1A5E" w:rsidRPr="006968AA" w:rsidRDefault="00FE1A5E" w:rsidP="00FE1A5E">
      <w:pPr>
        <w:pBdr>
          <w:top w:val="nil"/>
          <w:left w:val="nil"/>
          <w:bottom w:val="nil"/>
          <w:right w:val="nil"/>
          <w:between w:val="nil"/>
          <w:bar w:val="nil"/>
        </w:pBdr>
        <w:suppressAutoHyphens/>
        <w:spacing w:before="120" w:after="120"/>
        <w:rPr>
          <w:rFonts w:asciiTheme="minorHAnsi" w:hAnsiTheme="minorHAnsi" w:cstheme="minorHAnsi"/>
        </w:rPr>
      </w:pPr>
      <w:r w:rsidRPr="006968AA">
        <w:rPr>
          <w:rFonts w:asciiTheme="minorHAnsi" w:hAnsiTheme="minorHAnsi" w:cstheme="minorHAnsi"/>
        </w:rPr>
        <w:lastRenderedPageBreak/>
        <w:t xml:space="preserve">NSW Health (2006). </w:t>
      </w:r>
      <w:hyperlink r:id="rId17" w:history="1">
        <w:r w:rsidRPr="006968AA">
          <w:rPr>
            <w:rStyle w:val="Hyperlink0"/>
            <w:rFonts w:asciiTheme="minorHAnsi" w:hAnsiTheme="minorHAnsi" w:cstheme="minorHAnsi"/>
          </w:rPr>
          <w:t>Health care in people with intellectual disability – Guidelines for general practitioners</w:t>
        </w:r>
      </w:hyperlink>
      <w:r w:rsidRPr="006968AA">
        <w:rPr>
          <w:rFonts w:asciiTheme="minorHAnsi" w:hAnsiTheme="minorHAnsi" w:cstheme="minorHAnsi"/>
        </w:rPr>
        <w:t xml:space="preserve">. </w:t>
      </w:r>
    </w:p>
    <w:p w:rsidR="00FE1A5E" w:rsidRPr="006968AA" w:rsidRDefault="00FE1A5E" w:rsidP="00FE1A5E">
      <w:pPr>
        <w:pBdr>
          <w:top w:val="nil"/>
          <w:left w:val="nil"/>
          <w:bottom w:val="nil"/>
          <w:right w:val="nil"/>
          <w:between w:val="nil"/>
          <w:bar w:val="nil"/>
        </w:pBdr>
        <w:suppressAutoHyphens/>
        <w:spacing w:before="120" w:after="120"/>
        <w:rPr>
          <w:rFonts w:asciiTheme="minorHAnsi" w:hAnsiTheme="minorHAnsi" w:cstheme="minorHAnsi"/>
        </w:rPr>
      </w:pPr>
      <w:proofErr w:type="spellStart"/>
      <w:r w:rsidRPr="006968AA">
        <w:rPr>
          <w:rFonts w:asciiTheme="minorHAnsi" w:hAnsiTheme="minorHAnsi" w:cstheme="minorHAnsi"/>
        </w:rPr>
        <w:t>O’Dwyer</w:t>
      </w:r>
      <w:proofErr w:type="spellEnd"/>
      <w:r w:rsidRPr="006968AA">
        <w:rPr>
          <w:rFonts w:asciiTheme="minorHAnsi" w:hAnsiTheme="minorHAnsi" w:cstheme="minorHAnsi"/>
        </w:rPr>
        <w:t xml:space="preserve"> M, </w:t>
      </w:r>
      <w:proofErr w:type="spellStart"/>
      <w:r w:rsidRPr="006968AA">
        <w:rPr>
          <w:rFonts w:asciiTheme="minorHAnsi" w:hAnsiTheme="minorHAnsi" w:cstheme="minorHAnsi"/>
        </w:rPr>
        <w:t>Peklar</w:t>
      </w:r>
      <w:proofErr w:type="spellEnd"/>
      <w:r w:rsidRPr="006968AA">
        <w:rPr>
          <w:rFonts w:asciiTheme="minorHAnsi" w:hAnsiTheme="minorHAnsi" w:cstheme="minorHAnsi"/>
        </w:rPr>
        <w:t xml:space="preserve"> J, </w:t>
      </w:r>
      <w:proofErr w:type="spellStart"/>
      <w:r w:rsidRPr="006968AA">
        <w:rPr>
          <w:rFonts w:asciiTheme="minorHAnsi" w:hAnsiTheme="minorHAnsi" w:cstheme="minorHAnsi"/>
        </w:rPr>
        <w:t>McCallion</w:t>
      </w:r>
      <w:proofErr w:type="spellEnd"/>
      <w:r w:rsidRPr="006968AA">
        <w:rPr>
          <w:rFonts w:asciiTheme="minorHAnsi" w:hAnsiTheme="minorHAnsi" w:cstheme="minorHAnsi"/>
        </w:rPr>
        <w:t xml:space="preserve"> P, McCarron M, Henman M. (2016). Factors associated with polypharmacy and excessive polypharmacy in older people with intellectual disability differ from the general population: a cross-sectional observational nationwide study. British Medical Journal Open 6: e010505. </w:t>
      </w:r>
      <w:proofErr w:type="gramStart"/>
      <w:r w:rsidRPr="006968AA">
        <w:rPr>
          <w:rFonts w:asciiTheme="minorHAnsi" w:hAnsiTheme="minorHAnsi" w:cstheme="minorHAnsi"/>
        </w:rPr>
        <w:t>doi:</w:t>
      </w:r>
      <w:proofErr w:type="gramEnd"/>
      <w:r w:rsidRPr="006968AA">
        <w:rPr>
          <w:rFonts w:asciiTheme="minorHAnsi" w:hAnsiTheme="minorHAnsi" w:cstheme="minorHAnsi"/>
        </w:rPr>
        <w:t>10.1136/ bmjopen-2015-010505</w:t>
      </w:r>
    </w:p>
    <w:p w:rsidR="00FE1A5E" w:rsidRPr="006968AA" w:rsidRDefault="00FE1A5E" w:rsidP="00FE1A5E">
      <w:pPr>
        <w:pBdr>
          <w:top w:val="nil"/>
          <w:left w:val="nil"/>
          <w:bottom w:val="nil"/>
          <w:right w:val="nil"/>
          <w:between w:val="nil"/>
          <w:bar w:val="nil"/>
        </w:pBdr>
        <w:suppressAutoHyphens/>
        <w:spacing w:before="120" w:after="120"/>
        <w:rPr>
          <w:rFonts w:asciiTheme="minorHAnsi" w:hAnsiTheme="minorHAnsi" w:cstheme="minorHAnsi"/>
        </w:rPr>
      </w:pPr>
      <w:proofErr w:type="spellStart"/>
      <w:r w:rsidRPr="006968AA">
        <w:rPr>
          <w:rFonts w:asciiTheme="minorHAnsi" w:hAnsiTheme="minorHAnsi" w:cstheme="minorHAnsi"/>
        </w:rPr>
        <w:t>Rashed</w:t>
      </w:r>
      <w:proofErr w:type="spellEnd"/>
      <w:r w:rsidRPr="006968AA">
        <w:rPr>
          <w:rFonts w:asciiTheme="minorHAnsi" w:hAnsiTheme="minorHAnsi" w:cstheme="minorHAnsi"/>
        </w:rPr>
        <w:t xml:space="preserve"> A, Wong I, </w:t>
      </w:r>
      <w:proofErr w:type="spellStart"/>
      <w:r w:rsidRPr="006968AA">
        <w:rPr>
          <w:rFonts w:asciiTheme="minorHAnsi" w:hAnsiTheme="minorHAnsi" w:cstheme="minorHAnsi"/>
        </w:rPr>
        <w:t>Cranswick</w:t>
      </w:r>
      <w:proofErr w:type="spellEnd"/>
      <w:r w:rsidRPr="006968AA">
        <w:rPr>
          <w:rFonts w:asciiTheme="minorHAnsi" w:hAnsiTheme="minorHAnsi" w:cstheme="minorHAnsi"/>
        </w:rPr>
        <w:t xml:space="preserve"> N, Tomlin S, </w:t>
      </w:r>
      <w:proofErr w:type="spellStart"/>
      <w:r w:rsidRPr="006968AA">
        <w:rPr>
          <w:rFonts w:asciiTheme="minorHAnsi" w:hAnsiTheme="minorHAnsi" w:cstheme="minorHAnsi"/>
        </w:rPr>
        <w:t>Rascher</w:t>
      </w:r>
      <w:proofErr w:type="spellEnd"/>
      <w:r w:rsidRPr="006968AA">
        <w:rPr>
          <w:rFonts w:asciiTheme="minorHAnsi" w:hAnsiTheme="minorHAnsi" w:cstheme="minorHAnsi"/>
        </w:rPr>
        <w:t xml:space="preserve"> W, </w:t>
      </w:r>
      <w:proofErr w:type="spellStart"/>
      <w:r w:rsidRPr="006968AA">
        <w:rPr>
          <w:rFonts w:asciiTheme="minorHAnsi" w:hAnsiTheme="minorHAnsi" w:cstheme="minorHAnsi"/>
        </w:rPr>
        <w:t>Neubert</w:t>
      </w:r>
      <w:proofErr w:type="spellEnd"/>
      <w:r w:rsidRPr="006968AA">
        <w:rPr>
          <w:rFonts w:asciiTheme="minorHAnsi" w:hAnsiTheme="minorHAnsi" w:cstheme="minorHAnsi"/>
        </w:rPr>
        <w:t xml:space="preserve"> A. (2012). Risk factors associated with adverse drug reactions in hospitalised children: international multicentre study. European Journal of Clinical Pharmacology, 68: 801-10. </w:t>
      </w:r>
    </w:p>
    <w:p w:rsidR="00FE1A5E" w:rsidRPr="006968AA" w:rsidRDefault="00FE1A5E" w:rsidP="00FE1A5E">
      <w:pPr>
        <w:pBdr>
          <w:top w:val="nil"/>
          <w:left w:val="nil"/>
          <w:bottom w:val="nil"/>
          <w:right w:val="nil"/>
          <w:between w:val="nil"/>
          <w:bar w:val="nil"/>
        </w:pBdr>
        <w:suppressAutoHyphens/>
        <w:spacing w:before="120" w:after="120"/>
        <w:rPr>
          <w:rFonts w:asciiTheme="minorHAnsi" w:hAnsiTheme="minorHAnsi" w:cstheme="minorHAnsi"/>
        </w:rPr>
      </w:pPr>
      <w:r w:rsidRPr="006968AA">
        <w:rPr>
          <w:rFonts w:asciiTheme="minorHAnsi" w:hAnsiTheme="minorHAnsi" w:cstheme="minorHAnsi"/>
        </w:rPr>
        <w:t xml:space="preserve">Saldana S, </w:t>
      </w:r>
      <w:proofErr w:type="spellStart"/>
      <w:r w:rsidRPr="006968AA">
        <w:rPr>
          <w:rFonts w:asciiTheme="minorHAnsi" w:hAnsiTheme="minorHAnsi" w:cstheme="minorHAnsi"/>
        </w:rPr>
        <w:t>Keeshin</w:t>
      </w:r>
      <w:proofErr w:type="spellEnd"/>
      <w:r w:rsidRPr="006968AA">
        <w:rPr>
          <w:rFonts w:asciiTheme="minorHAnsi" w:hAnsiTheme="minorHAnsi" w:cstheme="minorHAnsi"/>
        </w:rPr>
        <w:t xml:space="preserve"> B, </w:t>
      </w:r>
      <w:proofErr w:type="spellStart"/>
      <w:r w:rsidRPr="006968AA">
        <w:rPr>
          <w:rFonts w:asciiTheme="minorHAnsi" w:hAnsiTheme="minorHAnsi" w:cstheme="minorHAnsi"/>
        </w:rPr>
        <w:t>Wehry</w:t>
      </w:r>
      <w:proofErr w:type="spellEnd"/>
      <w:r w:rsidRPr="006968AA">
        <w:rPr>
          <w:rFonts w:asciiTheme="minorHAnsi" w:hAnsiTheme="minorHAnsi" w:cstheme="minorHAnsi"/>
        </w:rPr>
        <w:t xml:space="preserve"> A, </w:t>
      </w:r>
      <w:proofErr w:type="spellStart"/>
      <w:r w:rsidRPr="006968AA">
        <w:rPr>
          <w:rFonts w:asciiTheme="minorHAnsi" w:hAnsiTheme="minorHAnsi" w:cstheme="minorHAnsi"/>
        </w:rPr>
        <w:t>Blom</w:t>
      </w:r>
      <w:proofErr w:type="spellEnd"/>
      <w:r w:rsidRPr="006968AA">
        <w:rPr>
          <w:rFonts w:asciiTheme="minorHAnsi" w:hAnsiTheme="minorHAnsi" w:cstheme="minorHAnsi"/>
        </w:rPr>
        <w:t xml:space="preserve"> T, Sorter M, </w:t>
      </w:r>
      <w:proofErr w:type="spellStart"/>
      <w:r w:rsidRPr="006968AA">
        <w:rPr>
          <w:rFonts w:asciiTheme="minorHAnsi" w:hAnsiTheme="minorHAnsi" w:cstheme="minorHAnsi"/>
        </w:rPr>
        <w:t>DelBello</w:t>
      </w:r>
      <w:proofErr w:type="spellEnd"/>
      <w:r w:rsidRPr="006968AA">
        <w:rPr>
          <w:rFonts w:asciiTheme="minorHAnsi" w:hAnsiTheme="minorHAnsi" w:cstheme="minorHAnsi"/>
        </w:rPr>
        <w:t xml:space="preserve"> M. et al (2014). Antipsychotic polypharmacy in children and adolescents at discharge from psychiatric hospitalization. Pharmacotherapy, 34 (8): 836-44.</w:t>
      </w:r>
    </w:p>
    <w:p w:rsidR="00FE1A5E" w:rsidRPr="006968AA" w:rsidRDefault="00FE1A5E" w:rsidP="00FE1A5E">
      <w:pPr>
        <w:pBdr>
          <w:top w:val="nil"/>
          <w:left w:val="nil"/>
          <w:bottom w:val="nil"/>
          <w:right w:val="nil"/>
          <w:between w:val="nil"/>
          <w:bar w:val="nil"/>
        </w:pBdr>
        <w:suppressAutoHyphens/>
        <w:spacing w:before="120" w:after="120"/>
        <w:rPr>
          <w:rFonts w:asciiTheme="minorHAnsi" w:hAnsiTheme="minorHAnsi" w:cstheme="minorHAnsi"/>
        </w:rPr>
      </w:pPr>
      <w:r w:rsidRPr="006968AA">
        <w:rPr>
          <w:rFonts w:asciiTheme="minorHAnsi" w:hAnsiTheme="minorHAnsi" w:cstheme="minorHAnsi"/>
        </w:rPr>
        <w:t xml:space="preserve">Saucedo R, Liu X, </w:t>
      </w:r>
      <w:proofErr w:type="spellStart"/>
      <w:r w:rsidRPr="006968AA">
        <w:rPr>
          <w:rFonts w:asciiTheme="minorHAnsi" w:hAnsiTheme="minorHAnsi" w:cstheme="minorHAnsi"/>
        </w:rPr>
        <w:t>Hincapie</w:t>
      </w:r>
      <w:proofErr w:type="spellEnd"/>
      <w:r w:rsidRPr="006968AA">
        <w:rPr>
          <w:rFonts w:asciiTheme="minorHAnsi" w:hAnsiTheme="minorHAnsi" w:cstheme="minorHAnsi"/>
        </w:rPr>
        <w:t xml:space="preserve">-Castillo J, Zambrano D, Bussing R, </w:t>
      </w:r>
      <w:proofErr w:type="spellStart"/>
      <w:r w:rsidRPr="006968AA">
        <w:rPr>
          <w:rFonts w:asciiTheme="minorHAnsi" w:hAnsiTheme="minorHAnsi" w:cstheme="minorHAnsi"/>
        </w:rPr>
        <w:t>Winterstein</w:t>
      </w:r>
      <w:proofErr w:type="spellEnd"/>
      <w:r w:rsidRPr="006968AA">
        <w:rPr>
          <w:rFonts w:asciiTheme="minorHAnsi" w:hAnsiTheme="minorHAnsi" w:cstheme="minorHAnsi"/>
        </w:rPr>
        <w:t xml:space="preserve"> A. (2018). Prevalence, time trends, and utilization patterns of psychotropic polypharmacy among </w:t>
      </w:r>
      <w:proofErr w:type="spellStart"/>
      <w:r w:rsidRPr="006968AA">
        <w:rPr>
          <w:rFonts w:asciiTheme="minorHAnsi" w:hAnsiTheme="minorHAnsi" w:cstheme="minorHAnsi"/>
        </w:rPr>
        <w:t>pediatric</w:t>
      </w:r>
      <w:proofErr w:type="spellEnd"/>
      <w:r w:rsidRPr="006968AA">
        <w:rPr>
          <w:rFonts w:asciiTheme="minorHAnsi" w:hAnsiTheme="minorHAnsi" w:cstheme="minorHAnsi"/>
        </w:rPr>
        <w:t xml:space="preserve"> Medicaid beneficiaries 1999-2010. Psychiatric Services, 69: 919-26.</w:t>
      </w:r>
    </w:p>
    <w:p w:rsidR="00FE1A5E" w:rsidRPr="006968AA" w:rsidRDefault="00FE1A5E" w:rsidP="00FE1A5E">
      <w:pPr>
        <w:pBdr>
          <w:top w:val="nil"/>
          <w:left w:val="nil"/>
          <w:bottom w:val="nil"/>
          <w:right w:val="nil"/>
          <w:between w:val="nil"/>
          <w:bar w:val="nil"/>
        </w:pBdr>
        <w:suppressAutoHyphens/>
        <w:spacing w:before="120" w:after="120"/>
        <w:rPr>
          <w:rFonts w:asciiTheme="minorHAnsi" w:hAnsiTheme="minorHAnsi" w:cstheme="minorHAnsi"/>
        </w:rPr>
      </w:pPr>
      <w:r w:rsidRPr="006968AA">
        <w:rPr>
          <w:rFonts w:asciiTheme="minorHAnsi" w:hAnsiTheme="minorHAnsi" w:cstheme="minorHAnsi"/>
        </w:rPr>
        <w:t xml:space="preserve">Shankar R, Wilcock M. (2018). Improving knowledge of psychotropic prescribing in people with intellectual disability in primary care. </w:t>
      </w:r>
      <w:proofErr w:type="spellStart"/>
      <w:r w:rsidRPr="006968AA">
        <w:rPr>
          <w:rFonts w:asciiTheme="minorHAnsi" w:hAnsiTheme="minorHAnsi" w:cstheme="minorHAnsi"/>
        </w:rPr>
        <w:t>PLoS</w:t>
      </w:r>
      <w:proofErr w:type="spellEnd"/>
      <w:r w:rsidRPr="006968AA">
        <w:rPr>
          <w:rFonts w:asciiTheme="minorHAnsi" w:hAnsiTheme="minorHAnsi" w:cstheme="minorHAnsi"/>
        </w:rPr>
        <w:t xml:space="preserve"> ONE 13 (9): e0204178</w:t>
      </w:r>
    </w:p>
    <w:p w:rsidR="00FE1A5E" w:rsidRPr="006968AA" w:rsidRDefault="00FE1A5E" w:rsidP="00FE1A5E">
      <w:pPr>
        <w:pBdr>
          <w:top w:val="nil"/>
          <w:left w:val="nil"/>
          <w:bottom w:val="nil"/>
          <w:right w:val="nil"/>
          <w:between w:val="nil"/>
          <w:bar w:val="nil"/>
        </w:pBdr>
        <w:suppressAutoHyphens/>
        <w:spacing w:before="120" w:after="120"/>
        <w:rPr>
          <w:rFonts w:asciiTheme="minorHAnsi" w:hAnsiTheme="minorHAnsi" w:cstheme="minorHAnsi"/>
        </w:rPr>
      </w:pPr>
      <w:r w:rsidRPr="006968AA">
        <w:rPr>
          <w:rFonts w:asciiTheme="minorHAnsi" w:hAnsiTheme="minorHAnsi" w:cstheme="minorHAnsi"/>
        </w:rPr>
        <w:t xml:space="preserve">Spencer D, Marshall J, Post B, </w:t>
      </w:r>
      <w:proofErr w:type="spellStart"/>
      <w:r w:rsidRPr="006968AA">
        <w:rPr>
          <w:rFonts w:asciiTheme="minorHAnsi" w:hAnsiTheme="minorHAnsi" w:cstheme="minorHAnsi"/>
        </w:rPr>
        <w:t>Kulakodlu</w:t>
      </w:r>
      <w:proofErr w:type="spellEnd"/>
      <w:r w:rsidRPr="006968AA">
        <w:rPr>
          <w:rFonts w:asciiTheme="minorHAnsi" w:hAnsiTheme="minorHAnsi" w:cstheme="minorHAnsi"/>
        </w:rPr>
        <w:t xml:space="preserve"> M, </w:t>
      </w:r>
      <w:proofErr w:type="spellStart"/>
      <w:r w:rsidRPr="006968AA">
        <w:rPr>
          <w:rFonts w:asciiTheme="minorHAnsi" w:hAnsiTheme="minorHAnsi" w:cstheme="minorHAnsi"/>
        </w:rPr>
        <w:t>Newshaffer</w:t>
      </w:r>
      <w:proofErr w:type="spellEnd"/>
      <w:r w:rsidRPr="006968AA">
        <w:rPr>
          <w:rFonts w:asciiTheme="minorHAnsi" w:hAnsiTheme="minorHAnsi" w:cstheme="minorHAnsi"/>
        </w:rPr>
        <w:t xml:space="preserve"> C, </w:t>
      </w:r>
      <w:proofErr w:type="spellStart"/>
      <w:r w:rsidRPr="006968AA">
        <w:rPr>
          <w:rFonts w:asciiTheme="minorHAnsi" w:hAnsiTheme="minorHAnsi" w:cstheme="minorHAnsi"/>
        </w:rPr>
        <w:t>Dennen</w:t>
      </w:r>
      <w:proofErr w:type="spellEnd"/>
      <w:r w:rsidRPr="006968AA">
        <w:rPr>
          <w:rFonts w:asciiTheme="minorHAnsi" w:hAnsiTheme="minorHAnsi" w:cstheme="minorHAnsi"/>
        </w:rPr>
        <w:t xml:space="preserve"> T. (2013). Psychotropic medication use and polypharmacy in children with autism spectrum disorders. </w:t>
      </w:r>
      <w:proofErr w:type="spellStart"/>
      <w:r w:rsidRPr="006968AA">
        <w:rPr>
          <w:rFonts w:asciiTheme="minorHAnsi" w:hAnsiTheme="minorHAnsi" w:cstheme="minorHAnsi"/>
        </w:rPr>
        <w:t>Pediatrics</w:t>
      </w:r>
      <w:proofErr w:type="spellEnd"/>
      <w:r w:rsidRPr="006968AA">
        <w:rPr>
          <w:rFonts w:asciiTheme="minorHAnsi" w:hAnsiTheme="minorHAnsi" w:cstheme="minorHAnsi"/>
        </w:rPr>
        <w:t xml:space="preserve">, 132: 833-40. </w:t>
      </w:r>
    </w:p>
    <w:p w:rsidR="00FE1A5E" w:rsidRPr="006968AA" w:rsidRDefault="00FE1A5E" w:rsidP="00FE1A5E">
      <w:pPr>
        <w:pBdr>
          <w:top w:val="nil"/>
          <w:left w:val="nil"/>
          <w:bottom w:val="nil"/>
          <w:right w:val="nil"/>
          <w:between w:val="nil"/>
          <w:bar w:val="nil"/>
        </w:pBdr>
        <w:suppressAutoHyphens/>
        <w:spacing w:before="120" w:after="120"/>
        <w:rPr>
          <w:rFonts w:asciiTheme="minorHAnsi" w:hAnsiTheme="minorHAnsi" w:cstheme="minorHAnsi"/>
        </w:rPr>
      </w:pPr>
      <w:proofErr w:type="spellStart"/>
      <w:r w:rsidRPr="006968AA">
        <w:rPr>
          <w:rFonts w:asciiTheme="minorHAnsi" w:hAnsiTheme="minorHAnsi" w:cstheme="minorHAnsi"/>
        </w:rPr>
        <w:t>Scheifes</w:t>
      </w:r>
      <w:proofErr w:type="spellEnd"/>
      <w:r w:rsidRPr="006968AA">
        <w:rPr>
          <w:rFonts w:asciiTheme="minorHAnsi" w:hAnsiTheme="minorHAnsi" w:cstheme="minorHAnsi"/>
        </w:rPr>
        <w:t xml:space="preserve"> A, </w:t>
      </w:r>
      <w:proofErr w:type="spellStart"/>
      <w:r w:rsidRPr="006968AA">
        <w:rPr>
          <w:rFonts w:asciiTheme="minorHAnsi" w:hAnsiTheme="minorHAnsi" w:cstheme="minorHAnsi"/>
        </w:rPr>
        <w:t>Walraven</w:t>
      </w:r>
      <w:proofErr w:type="spellEnd"/>
      <w:r w:rsidRPr="006968AA">
        <w:rPr>
          <w:rFonts w:asciiTheme="minorHAnsi" w:hAnsiTheme="minorHAnsi" w:cstheme="minorHAnsi"/>
        </w:rPr>
        <w:t xml:space="preserve"> S, </w:t>
      </w:r>
      <w:proofErr w:type="spellStart"/>
      <w:r w:rsidRPr="006968AA">
        <w:rPr>
          <w:rFonts w:asciiTheme="minorHAnsi" w:hAnsiTheme="minorHAnsi" w:cstheme="minorHAnsi"/>
        </w:rPr>
        <w:t>Stolker</w:t>
      </w:r>
      <w:proofErr w:type="spellEnd"/>
      <w:r w:rsidRPr="006968AA">
        <w:rPr>
          <w:rFonts w:asciiTheme="minorHAnsi" w:hAnsiTheme="minorHAnsi" w:cstheme="minorHAnsi"/>
        </w:rPr>
        <w:t xml:space="preserve"> JJ, </w:t>
      </w:r>
      <w:proofErr w:type="spellStart"/>
      <w:r w:rsidRPr="006968AA">
        <w:rPr>
          <w:rFonts w:asciiTheme="minorHAnsi" w:hAnsiTheme="minorHAnsi" w:cstheme="minorHAnsi"/>
        </w:rPr>
        <w:t>Henk</w:t>
      </w:r>
      <w:proofErr w:type="spellEnd"/>
      <w:r w:rsidRPr="006968AA">
        <w:rPr>
          <w:rFonts w:asciiTheme="minorHAnsi" w:hAnsiTheme="minorHAnsi" w:cstheme="minorHAnsi"/>
        </w:rPr>
        <w:t xml:space="preserve"> L.I. Nijman HLI, Egberts TCG, </w:t>
      </w:r>
      <w:proofErr w:type="spellStart"/>
      <w:r w:rsidRPr="006968AA">
        <w:rPr>
          <w:rFonts w:asciiTheme="minorHAnsi" w:hAnsiTheme="minorHAnsi" w:cstheme="minorHAnsi"/>
        </w:rPr>
        <w:t>Heerdink</w:t>
      </w:r>
      <w:proofErr w:type="spellEnd"/>
      <w:r w:rsidRPr="006968AA">
        <w:rPr>
          <w:rFonts w:asciiTheme="minorHAnsi" w:hAnsiTheme="minorHAnsi" w:cstheme="minorHAnsi"/>
        </w:rPr>
        <w:t xml:space="preserve"> ER (2016). Adverse events and the relation with quality of life in adults with intellectual disability and challenging behaviour using psychotropic drugs. Research in Developmental Disabilities, 49-50: 13-21. </w:t>
      </w:r>
    </w:p>
    <w:p w:rsidR="00FE1A5E" w:rsidRPr="006968AA" w:rsidRDefault="00FE1A5E" w:rsidP="00FE1A5E">
      <w:pPr>
        <w:pBdr>
          <w:top w:val="nil"/>
          <w:left w:val="nil"/>
          <w:bottom w:val="nil"/>
          <w:right w:val="nil"/>
          <w:between w:val="nil"/>
          <w:bar w:val="nil"/>
        </w:pBdr>
        <w:suppressAutoHyphens/>
        <w:spacing w:before="120" w:after="120"/>
        <w:rPr>
          <w:rFonts w:asciiTheme="minorHAnsi" w:hAnsiTheme="minorHAnsi" w:cstheme="minorHAnsi"/>
        </w:rPr>
      </w:pPr>
      <w:proofErr w:type="spellStart"/>
      <w:r w:rsidRPr="006968AA">
        <w:rPr>
          <w:rFonts w:asciiTheme="minorHAnsi" w:hAnsiTheme="minorHAnsi" w:cstheme="minorHAnsi"/>
        </w:rPr>
        <w:t>Schoufour</w:t>
      </w:r>
      <w:proofErr w:type="spellEnd"/>
      <w:r w:rsidRPr="006968AA">
        <w:rPr>
          <w:rFonts w:asciiTheme="minorHAnsi" w:hAnsiTheme="minorHAnsi" w:cstheme="minorHAnsi"/>
        </w:rPr>
        <w:t xml:space="preserve">, J. D., </w:t>
      </w:r>
      <w:proofErr w:type="spellStart"/>
      <w:r w:rsidRPr="006968AA">
        <w:rPr>
          <w:rFonts w:asciiTheme="minorHAnsi" w:hAnsiTheme="minorHAnsi" w:cstheme="minorHAnsi"/>
        </w:rPr>
        <w:t>Oppewal</w:t>
      </w:r>
      <w:proofErr w:type="spellEnd"/>
      <w:r w:rsidRPr="006968AA">
        <w:rPr>
          <w:rFonts w:asciiTheme="minorHAnsi" w:hAnsiTheme="minorHAnsi" w:cstheme="minorHAnsi"/>
        </w:rPr>
        <w:t xml:space="preserve">, A., van der </w:t>
      </w:r>
      <w:proofErr w:type="spellStart"/>
      <w:r w:rsidRPr="006968AA">
        <w:rPr>
          <w:rFonts w:asciiTheme="minorHAnsi" w:hAnsiTheme="minorHAnsi" w:cstheme="minorHAnsi"/>
        </w:rPr>
        <w:t>Maarl</w:t>
      </w:r>
      <w:proofErr w:type="spellEnd"/>
      <w:r w:rsidRPr="006968AA">
        <w:rPr>
          <w:rFonts w:asciiTheme="minorHAnsi" w:hAnsiTheme="minorHAnsi" w:cstheme="minorHAnsi"/>
        </w:rPr>
        <w:t xml:space="preserve">, H. J. K., </w:t>
      </w:r>
      <w:proofErr w:type="spellStart"/>
      <w:r w:rsidRPr="006968AA">
        <w:rPr>
          <w:rFonts w:asciiTheme="minorHAnsi" w:hAnsiTheme="minorHAnsi" w:cstheme="minorHAnsi"/>
        </w:rPr>
        <w:t>Hermans</w:t>
      </w:r>
      <w:proofErr w:type="spellEnd"/>
      <w:r w:rsidRPr="006968AA">
        <w:rPr>
          <w:rFonts w:asciiTheme="minorHAnsi" w:hAnsiTheme="minorHAnsi" w:cstheme="minorHAnsi"/>
        </w:rPr>
        <w:t xml:space="preserve">, H., </w:t>
      </w:r>
      <w:proofErr w:type="spellStart"/>
      <w:r w:rsidRPr="006968AA">
        <w:rPr>
          <w:rFonts w:asciiTheme="minorHAnsi" w:hAnsiTheme="minorHAnsi" w:cstheme="minorHAnsi"/>
        </w:rPr>
        <w:t>Evenhuis</w:t>
      </w:r>
      <w:proofErr w:type="spellEnd"/>
      <w:r w:rsidRPr="006968AA">
        <w:rPr>
          <w:rFonts w:asciiTheme="minorHAnsi" w:hAnsiTheme="minorHAnsi" w:cstheme="minorHAnsi"/>
        </w:rPr>
        <w:t xml:space="preserve">, H. M., </w:t>
      </w:r>
      <w:proofErr w:type="spellStart"/>
      <w:r w:rsidRPr="006968AA">
        <w:rPr>
          <w:rFonts w:asciiTheme="minorHAnsi" w:hAnsiTheme="minorHAnsi" w:cstheme="minorHAnsi"/>
        </w:rPr>
        <w:t>Hilgenkamp</w:t>
      </w:r>
      <w:proofErr w:type="spellEnd"/>
      <w:r w:rsidRPr="006968AA">
        <w:rPr>
          <w:rFonts w:asciiTheme="minorHAnsi" w:hAnsiTheme="minorHAnsi" w:cstheme="minorHAnsi"/>
        </w:rPr>
        <w:t xml:space="preserve">, T. I. M., &amp; </w:t>
      </w:r>
      <w:proofErr w:type="spellStart"/>
      <w:r w:rsidRPr="006968AA">
        <w:rPr>
          <w:rFonts w:asciiTheme="minorHAnsi" w:hAnsiTheme="minorHAnsi" w:cstheme="minorHAnsi"/>
        </w:rPr>
        <w:t>Festen</w:t>
      </w:r>
      <w:proofErr w:type="spellEnd"/>
      <w:r w:rsidRPr="006968AA">
        <w:rPr>
          <w:rFonts w:asciiTheme="minorHAnsi" w:hAnsiTheme="minorHAnsi" w:cstheme="minorHAnsi"/>
        </w:rPr>
        <w:t xml:space="preserve">, D. A. (2018). </w:t>
      </w:r>
      <w:hyperlink r:id="rId18" w:history="1">
        <w:proofErr w:type="spellStart"/>
        <w:r w:rsidRPr="006968AA">
          <w:rPr>
            <w:rStyle w:val="Hyperlink0"/>
            <w:rFonts w:asciiTheme="minorHAnsi" w:hAnsiTheme="minorHAnsi" w:cstheme="minorHAnsi"/>
          </w:rPr>
          <w:t>Multimorbidity</w:t>
        </w:r>
        <w:proofErr w:type="spellEnd"/>
        <w:r w:rsidRPr="006968AA">
          <w:rPr>
            <w:rStyle w:val="Hyperlink0"/>
            <w:rFonts w:asciiTheme="minorHAnsi" w:hAnsiTheme="minorHAnsi" w:cstheme="minorHAnsi"/>
          </w:rPr>
          <w:t xml:space="preserve"> and polypharmacy are independently associated with mortality in older people with intellectual disabilities</w:t>
        </w:r>
      </w:hyperlink>
      <w:r w:rsidRPr="006968AA">
        <w:rPr>
          <w:rFonts w:asciiTheme="minorHAnsi" w:hAnsiTheme="minorHAnsi" w:cstheme="minorHAnsi"/>
        </w:rPr>
        <w:t xml:space="preserve">: A 5‐year follow‐up from the HA‐ID study. American Journal on Intellectual and Developmental Disabilities, 123(1), 72–82. </w:t>
      </w:r>
    </w:p>
    <w:p w:rsidR="00FE1A5E" w:rsidRPr="006968AA" w:rsidRDefault="00FE1A5E" w:rsidP="00FE1A5E">
      <w:pPr>
        <w:pBdr>
          <w:top w:val="nil"/>
          <w:left w:val="nil"/>
          <w:bottom w:val="nil"/>
          <w:right w:val="nil"/>
          <w:between w:val="nil"/>
          <w:bar w:val="nil"/>
        </w:pBdr>
        <w:suppressAutoHyphens/>
        <w:spacing w:before="120" w:after="120"/>
        <w:rPr>
          <w:rFonts w:asciiTheme="minorHAnsi" w:hAnsiTheme="minorHAnsi" w:cstheme="minorHAnsi"/>
        </w:rPr>
      </w:pPr>
      <w:r w:rsidRPr="006968AA">
        <w:rPr>
          <w:rFonts w:asciiTheme="minorHAnsi" w:hAnsiTheme="minorHAnsi" w:cstheme="minorHAnsi"/>
        </w:rPr>
        <w:t xml:space="preserve">Sullivan W, </w:t>
      </w:r>
      <w:proofErr w:type="spellStart"/>
      <w:r w:rsidRPr="006968AA">
        <w:rPr>
          <w:rFonts w:asciiTheme="minorHAnsi" w:hAnsiTheme="minorHAnsi" w:cstheme="minorHAnsi"/>
        </w:rPr>
        <w:t>Diepstra</w:t>
      </w:r>
      <w:proofErr w:type="spellEnd"/>
      <w:r w:rsidRPr="006968AA">
        <w:rPr>
          <w:rFonts w:asciiTheme="minorHAnsi" w:hAnsiTheme="minorHAnsi" w:cstheme="minorHAnsi"/>
        </w:rPr>
        <w:t xml:space="preserve"> H, </w:t>
      </w:r>
      <w:proofErr w:type="spellStart"/>
      <w:r w:rsidRPr="006968AA">
        <w:rPr>
          <w:rFonts w:asciiTheme="minorHAnsi" w:hAnsiTheme="minorHAnsi" w:cstheme="minorHAnsi"/>
        </w:rPr>
        <w:t>Heng</w:t>
      </w:r>
      <w:proofErr w:type="spellEnd"/>
      <w:r w:rsidRPr="006968AA">
        <w:rPr>
          <w:rFonts w:asciiTheme="minorHAnsi" w:hAnsiTheme="minorHAnsi" w:cstheme="minorHAnsi"/>
        </w:rPr>
        <w:t xml:space="preserve"> J, Ally S, Bradley E, </w:t>
      </w:r>
      <w:proofErr w:type="spellStart"/>
      <w:r w:rsidRPr="006968AA">
        <w:rPr>
          <w:rFonts w:asciiTheme="minorHAnsi" w:hAnsiTheme="minorHAnsi" w:cstheme="minorHAnsi"/>
        </w:rPr>
        <w:t>Casson</w:t>
      </w:r>
      <w:proofErr w:type="spellEnd"/>
      <w:r w:rsidRPr="006968AA">
        <w:rPr>
          <w:rFonts w:asciiTheme="minorHAnsi" w:hAnsiTheme="minorHAnsi" w:cstheme="minorHAnsi"/>
        </w:rPr>
        <w:t xml:space="preserve"> I. et al. (2018). Primary care of adults with intellectual and developmental disabilities – 2018 Canadian consensus guidelines. Canadian Family Physician, 64: 254-79. </w:t>
      </w:r>
    </w:p>
    <w:p w:rsidR="00FE1A5E" w:rsidRPr="006968AA" w:rsidRDefault="00FE1A5E" w:rsidP="00FE1A5E">
      <w:pPr>
        <w:pBdr>
          <w:top w:val="nil"/>
          <w:left w:val="nil"/>
          <w:bottom w:val="nil"/>
          <w:right w:val="nil"/>
          <w:between w:val="nil"/>
          <w:bar w:val="nil"/>
        </w:pBdr>
        <w:suppressAutoHyphens/>
        <w:spacing w:before="120" w:after="120"/>
        <w:rPr>
          <w:rFonts w:asciiTheme="minorHAnsi" w:hAnsiTheme="minorHAnsi" w:cstheme="minorHAnsi"/>
        </w:rPr>
      </w:pPr>
      <w:r w:rsidRPr="006968AA">
        <w:rPr>
          <w:rFonts w:asciiTheme="minorHAnsi" w:hAnsiTheme="minorHAnsi" w:cstheme="minorHAnsi"/>
        </w:rPr>
        <w:t xml:space="preserve">Tracy J, Davis R, </w:t>
      </w:r>
      <w:proofErr w:type="spellStart"/>
      <w:r w:rsidRPr="006968AA">
        <w:rPr>
          <w:rFonts w:asciiTheme="minorHAnsi" w:hAnsiTheme="minorHAnsi" w:cstheme="minorHAnsi"/>
        </w:rPr>
        <w:t>Macgibbon</w:t>
      </w:r>
      <w:proofErr w:type="spellEnd"/>
      <w:r w:rsidRPr="006968AA">
        <w:rPr>
          <w:rFonts w:asciiTheme="minorHAnsi" w:hAnsiTheme="minorHAnsi" w:cstheme="minorHAnsi"/>
        </w:rPr>
        <w:t xml:space="preserve"> P, Graham M, MacDonald R, </w:t>
      </w:r>
      <w:proofErr w:type="spellStart"/>
      <w:r w:rsidRPr="006968AA">
        <w:rPr>
          <w:rFonts w:asciiTheme="minorHAnsi" w:hAnsiTheme="minorHAnsi" w:cstheme="minorHAnsi"/>
        </w:rPr>
        <w:t>Leuner</w:t>
      </w:r>
      <w:proofErr w:type="spellEnd"/>
      <w:r w:rsidRPr="006968AA">
        <w:rPr>
          <w:rFonts w:asciiTheme="minorHAnsi" w:hAnsiTheme="minorHAnsi" w:cstheme="minorHAnsi"/>
        </w:rPr>
        <w:t xml:space="preserve"> B. 2015. </w:t>
      </w:r>
      <w:hyperlink r:id="rId19" w:history="1">
        <w:r w:rsidRPr="006968AA">
          <w:rPr>
            <w:rStyle w:val="Hyperlink0"/>
            <w:rFonts w:asciiTheme="minorHAnsi" w:hAnsiTheme="minorHAnsi" w:cstheme="minorHAnsi"/>
          </w:rPr>
          <w:t>Medication Review Guide for GPs: A Guide for GPs on the use of psychoactive medications for adults with intellectual disability who present with behaviours of concern</w:t>
        </w:r>
      </w:hyperlink>
      <w:r w:rsidRPr="006968AA">
        <w:rPr>
          <w:rFonts w:asciiTheme="minorHAnsi" w:hAnsiTheme="minorHAnsi" w:cstheme="minorHAnsi"/>
        </w:rPr>
        <w:t xml:space="preserve">. Melbourne: Centre for Developmental Disability Health Victoria (CDDHV). </w:t>
      </w:r>
    </w:p>
    <w:p w:rsidR="00FE1A5E" w:rsidRPr="006968AA" w:rsidRDefault="00FE1A5E" w:rsidP="00FE1A5E">
      <w:pPr>
        <w:pBdr>
          <w:top w:val="nil"/>
          <w:left w:val="nil"/>
          <w:bottom w:val="nil"/>
          <w:right w:val="nil"/>
          <w:between w:val="nil"/>
          <w:bar w:val="nil"/>
        </w:pBdr>
        <w:suppressAutoHyphens/>
        <w:spacing w:before="120" w:after="120"/>
        <w:rPr>
          <w:rFonts w:asciiTheme="minorHAnsi" w:hAnsiTheme="minorHAnsi" w:cstheme="minorHAnsi"/>
        </w:rPr>
      </w:pPr>
      <w:r w:rsidRPr="006968AA">
        <w:rPr>
          <w:rFonts w:asciiTheme="minorHAnsi" w:hAnsiTheme="minorHAnsi" w:cstheme="minorHAnsi"/>
        </w:rPr>
        <w:t xml:space="preserve">Troller J, Salomon C, Franklin C. (2016). </w:t>
      </w:r>
      <w:hyperlink r:id="rId20" w:history="1">
        <w:r w:rsidRPr="006968AA">
          <w:rPr>
            <w:rStyle w:val="Hyperlink0"/>
            <w:rFonts w:asciiTheme="minorHAnsi" w:hAnsiTheme="minorHAnsi" w:cstheme="minorHAnsi"/>
          </w:rPr>
          <w:t>Prescribing psychotropic drugs to adults with an intellectual disability</w:t>
        </w:r>
      </w:hyperlink>
      <w:r w:rsidRPr="006968AA">
        <w:rPr>
          <w:rFonts w:asciiTheme="minorHAnsi" w:hAnsiTheme="minorHAnsi" w:cstheme="minorHAnsi"/>
        </w:rPr>
        <w:t xml:space="preserve">. Australian Prescriber. </w:t>
      </w:r>
      <w:proofErr w:type="gramStart"/>
      <w:r w:rsidRPr="006968AA">
        <w:rPr>
          <w:rFonts w:asciiTheme="minorHAnsi" w:hAnsiTheme="minorHAnsi" w:cstheme="minorHAnsi"/>
        </w:rPr>
        <w:t>39</w:t>
      </w:r>
      <w:proofErr w:type="gramEnd"/>
      <w:r w:rsidRPr="006968AA">
        <w:rPr>
          <w:rFonts w:asciiTheme="minorHAnsi" w:hAnsiTheme="minorHAnsi" w:cstheme="minorHAnsi"/>
        </w:rPr>
        <w:t xml:space="preserve"> (4): 126-30. </w:t>
      </w:r>
    </w:p>
    <w:p w:rsidR="00FE1A5E" w:rsidRPr="006968AA" w:rsidRDefault="00FE1A5E" w:rsidP="00FE1A5E">
      <w:pPr>
        <w:pBdr>
          <w:top w:val="nil"/>
          <w:left w:val="nil"/>
          <w:bottom w:val="nil"/>
          <w:right w:val="nil"/>
          <w:between w:val="nil"/>
          <w:bar w:val="nil"/>
        </w:pBdr>
        <w:suppressAutoHyphens/>
        <w:spacing w:before="120" w:after="120"/>
        <w:rPr>
          <w:rFonts w:asciiTheme="minorHAnsi" w:hAnsiTheme="minorHAnsi" w:cstheme="minorHAnsi"/>
        </w:rPr>
      </w:pPr>
      <w:proofErr w:type="spellStart"/>
      <w:r w:rsidRPr="006968AA">
        <w:rPr>
          <w:rFonts w:asciiTheme="minorHAnsi" w:hAnsiTheme="minorHAnsi" w:cstheme="minorHAnsi"/>
        </w:rPr>
        <w:t>Tsiouris</w:t>
      </w:r>
      <w:proofErr w:type="spellEnd"/>
      <w:r w:rsidRPr="006968AA">
        <w:rPr>
          <w:rFonts w:asciiTheme="minorHAnsi" w:hAnsiTheme="minorHAnsi" w:cstheme="minorHAnsi"/>
        </w:rPr>
        <w:t xml:space="preserve"> J. (2010). Pharmacotherapy for aggressive behaviours in persons with intellectual disabilities: treatment or mistreatment? Journal of Intellectual Disability Research. </w:t>
      </w:r>
      <w:proofErr w:type="gramStart"/>
      <w:r w:rsidRPr="006968AA">
        <w:rPr>
          <w:rFonts w:asciiTheme="minorHAnsi" w:hAnsiTheme="minorHAnsi" w:cstheme="minorHAnsi"/>
        </w:rPr>
        <w:t>54</w:t>
      </w:r>
      <w:proofErr w:type="gramEnd"/>
      <w:r w:rsidRPr="006968AA">
        <w:rPr>
          <w:rFonts w:asciiTheme="minorHAnsi" w:hAnsiTheme="minorHAnsi" w:cstheme="minorHAnsi"/>
        </w:rPr>
        <w:t xml:space="preserve"> (1). </w:t>
      </w:r>
      <w:proofErr w:type="spellStart"/>
      <w:proofErr w:type="gramStart"/>
      <w:r w:rsidRPr="006968AA">
        <w:rPr>
          <w:rFonts w:asciiTheme="minorHAnsi" w:hAnsiTheme="minorHAnsi" w:cstheme="minorHAnsi"/>
        </w:rPr>
        <w:t>doi</w:t>
      </w:r>
      <w:proofErr w:type="spellEnd"/>
      <w:proofErr w:type="gramEnd"/>
      <w:r w:rsidRPr="006968AA">
        <w:rPr>
          <w:rFonts w:asciiTheme="minorHAnsi" w:hAnsiTheme="minorHAnsi" w:cstheme="minorHAnsi"/>
        </w:rPr>
        <w:t>: 10.1111/j.1365-2788.2009.01232.x</w:t>
      </w:r>
    </w:p>
    <w:p w:rsidR="00FE1A5E" w:rsidRPr="006968AA" w:rsidRDefault="00FE1A5E" w:rsidP="00FE1A5E">
      <w:pPr>
        <w:pBdr>
          <w:top w:val="nil"/>
          <w:left w:val="nil"/>
          <w:bottom w:val="nil"/>
          <w:right w:val="nil"/>
          <w:between w:val="nil"/>
          <w:bar w:val="nil"/>
        </w:pBdr>
        <w:suppressAutoHyphens/>
        <w:spacing w:before="120" w:after="120"/>
        <w:rPr>
          <w:rFonts w:asciiTheme="minorHAnsi" w:hAnsiTheme="minorHAnsi" w:cstheme="minorHAnsi"/>
        </w:rPr>
      </w:pPr>
      <w:proofErr w:type="spellStart"/>
      <w:r w:rsidRPr="006968AA">
        <w:rPr>
          <w:rFonts w:asciiTheme="minorHAnsi" w:hAnsiTheme="minorHAnsi" w:cstheme="minorHAnsi"/>
        </w:rPr>
        <w:lastRenderedPageBreak/>
        <w:t>Tsiouris</w:t>
      </w:r>
      <w:proofErr w:type="spellEnd"/>
      <w:r w:rsidRPr="006968AA">
        <w:rPr>
          <w:rFonts w:asciiTheme="minorHAnsi" w:hAnsiTheme="minorHAnsi" w:cstheme="minorHAnsi"/>
        </w:rPr>
        <w:t xml:space="preserve"> J. (2012). Prevalence of psychotropic drug use in adults with intellectual disability: Positive and negative findings from a </w:t>
      </w:r>
      <w:proofErr w:type="gramStart"/>
      <w:r w:rsidRPr="006968AA">
        <w:rPr>
          <w:rFonts w:asciiTheme="minorHAnsi" w:hAnsiTheme="minorHAnsi" w:cstheme="minorHAnsi"/>
        </w:rPr>
        <w:t>large scale</w:t>
      </w:r>
      <w:proofErr w:type="gramEnd"/>
      <w:r w:rsidRPr="006968AA">
        <w:rPr>
          <w:rFonts w:asciiTheme="minorHAnsi" w:hAnsiTheme="minorHAnsi" w:cstheme="minorHAnsi"/>
        </w:rPr>
        <w:t xml:space="preserve"> study. Journal of Autism and Developmental Disorders. </w:t>
      </w:r>
      <w:proofErr w:type="gramStart"/>
      <w:r w:rsidRPr="006968AA">
        <w:rPr>
          <w:rFonts w:asciiTheme="minorHAnsi" w:hAnsiTheme="minorHAnsi" w:cstheme="minorHAnsi"/>
        </w:rPr>
        <w:t>43</w:t>
      </w:r>
      <w:proofErr w:type="gramEnd"/>
      <w:r w:rsidRPr="006968AA">
        <w:rPr>
          <w:rFonts w:asciiTheme="minorHAnsi" w:hAnsiTheme="minorHAnsi" w:cstheme="minorHAnsi"/>
        </w:rPr>
        <w:t xml:space="preserve">: 719-31. </w:t>
      </w:r>
      <w:proofErr w:type="spellStart"/>
      <w:r w:rsidRPr="006968AA">
        <w:rPr>
          <w:rFonts w:asciiTheme="minorHAnsi" w:hAnsiTheme="minorHAnsi" w:cstheme="minorHAnsi"/>
        </w:rPr>
        <w:t>Doi</w:t>
      </w:r>
      <w:proofErr w:type="spellEnd"/>
      <w:r w:rsidRPr="006968AA">
        <w:rPr>
          <w:rFonts w:asciiTheme="minorHAnsi" w:hAnsiTheme="minorHAnsi" w:cstheme="minorHAnsi"/>
        </w:rPr>
        <w:t>: 0.1007/s10803-012-1617-6</w:t>
      </w:r>
    </w:p>
    <w:p w:rsidR="00FE1A5E" w:rsidRPr="006968AA" w:rsidRDefault="00FE1A5E" w:rsidP="00FE1A5E">
      <w:pPr>
        <w:pBdr>
          <w:top w:val="nil"/>
          <w:left w:val="nil"/>
          <w:bottom w:val="nil"/>
          <w:right w:val="nil"/>
          <w:between w:val="nil"/>
          <w:bar w:val="nil"/>
        </w:pBdr>
        <w:suppressAutoHyphens/>
        <w:spacing w:before="120" w:after="120"/>
        <w:rPr>
          <w:rFonts w:asciiTheme="minorHAnsi" w:hAnsiTheme="minorHAnsi" w:cstheme="minorHAnsi"/>
        </w:rPr>
      </w:pPr>
      <w:r w:rsidRPr="006968AA">
        <w:rPr>
          <w:rFonts w:asciiTheme="minorHAnsi" w:hAnsiTheme="minorHAnsi" w:cstheme="minorHAnsi"/>
        </w:rPr>
        <w:t xml:space="preserve">Victorian (DHHS) Department of Health and Human Services (2013). </w:t>
      </w:r>
      <w:hyperlink r:id="rId21" w:history="1">
        <w:r w:rsidRPr="006968AA">
          <w:rPr>
            <w:rStyle w:val="Hyperlink0"/>
            <w:rFonts w:asciiTheme="minorHAnsi" w:hAnsiTheme="minorHAnsi" w:cstheme="minorHAnsi"/>
          </w:rPr>
          <w:t>Health survey of people with an intellectual disability 2013</w:t>
        </w:r>
      </w:hyperlink>
      <w:r w:rsidRPr="006968AA">
        <w:rPr>
          <w:rFonts w:asciiTheme="minorHAnsi" w:hAnsiTheme="minorHAnsi" w:cstheme="minorHAnsi"/>
        </w:rPr>
        <w:t xml:space="preserve">. </w:t>
      </w:r>
    </w:p>
    <w:p w:rsidR="00FE1A5E" w:rsidRPr="006968AA" w:rsidRDefault="00FE1A5E" w:rsidP="00FE1A5E">
      <w:pPr>
        <w:pBdr>
          <w:top w:val="nil"/>
          <w:left w:val="nil"/>
          <w:bottom w:val="nil"/>
          <w:right w:val="nil"/>
          <w:between w:val="nil"/>
          <w:bar w:val="nil"/>
        </w:pBdr>
        <w:suppressAutoHyphens/>
        <w:spacing w:before="120" w:after="120"/>
        <w:rPr>
          <w:rFonts w:asciiTheme="minorHAnsi" w:hAnsiTheme="minorHAnsi" w:cstheme="minorHAnsi"/>
        </w:rPr>
      </w:pPr>
      <w:r w:rsidRPr="006968AA">
        <w:rPr>
          <w:rFonts w:asciiTheme="minorHAnsi" w:hAnsiTheme="minorHAnsi" w:cstheme="minorHAnsi"/>
        </w:rPr>
        <w:t xml:space="preserve">World Health Organization (2019). </w:t>
      </w:r>
      <w:hyperlink r:id="rId22" w:history="1">
        <w:r w:rsidRPr="006968AA">
          <w:rPr>
            <w:rStyle w:val="Hyperlink0"/>
            <w:rFonts w:asciiTheme="minorHAnsi" w:hAnsiTheme="minorHAnsi" w:cstheme="minorHAnsi"/>
          </w:rPr>
          <w:t>Medication safety in polypharmacy</w:t>
        </w:r>
      </w:hyperlink>
      <w:r w:rsidRPr="006968AA">
        <w:rPr>
          <w:rFonts w:asciiTheme="minorHAnsi" w:hAnsiTheme="minorHAnsi" w:cstheme="minorHAnsi"/>
        </w:rPr>
        <w:t xml:space="preserve">. </w:t>
      </w:r>
    </w:p>
    <w:p w:rsidR="0067621B" w:rsidRPr="006968AA" w:rsidRDefault="0067621B" w:rsidP="0067621B">
      <w:pPr>
        <w:pStyle w:val="Heading1"/>
        <w:pBdr>
          <w:top w:val="single" w:sz="36" w:space="1" w:color="5F2E74" w:themeColor="accent1"/>
        </w:pBdr>
        <w:rPr>
          <w:rFonts w:eastAsia="Calibri" w:cs="Calibri"/>
        </w:rPr>
      </w:pPr>
      <w:r w:rsidRPr="006968AA">
        <w:t>General enquiries</w:t>
      </w:r>
    </w:p>
    <w:p w:rsidR="0067621B" w:rsidRPr="006968AA" w:rsidRDefault="0067621B" w:rsidP="00322DE3">
      <w:pPr>
        <w:pStyle w:val="Body"/>
        <w:spacing w:after="120" w:line="276" w:lineRule="auto"/>
        <w:ind w:right="-34"/>
        <w:rPr>
          <w:sz w:val="22"/>
          <w:szCs w:val="22"/>
          <w:lang w:val="en-AU"/>
        </w:rPr>
      </w:pPr>
      <w:r w:rsidRPr="006968AA">
        <w:rPr>
          <w:b/>
          <w:bCs/>
          <w:color w:val="auto"/>
          <w:sz w:val="22"/>
          <w:szCs w:val="22"/>
          <w:lang w:val="en-AU"/>
        </w:rPr>
        <w:t xml:space="preserve">Call: 1800 035 544 </w:t>
      </w:r>
      <w:r w:rsidRPr="006968AA">
        <w:rPr>
          <w:sz w:val="22"/>
          <w:szCs w:val="22"/>
          <w:lang w:val="en-AU"/>
        </w:rPr>
        <w:t xml:space="preserve">(free call from landlines). Our contact centre is open 9.00am to 4.30pm in the NT, </w:t>
      </w:r>
      <w:r w:rsidR="00322DE3" w:rsidRPr="006968AA">
        <w:rPr>
          <w:sz w:val="22"/>
          <w:szCs w:val="22"/>
          <w:lang w:val="en-AU"/>
        </w:rPr>
        <w:t xml:space="preserve">and </w:t>
      </w:r>
      <w:r w:rsidRPr="006968AA">
        <w:rPr>
          <w:sz w:val="22"/>
          <w:szCs w:val="22"/>
          <w:lang w:val="en-AU"/>
        </w:rPr>
        <w:t xml:space="preserve">9.00am to 5.00pm in </w:t>
      </w:r>
      <w:r w:rsidR="00322DE3" w:rsidRPr="006968AA">
        <w:rPr>
          <w:sz w:val="22"/>
          <w:szCs w:val="22"/>
          <w:lang w:val="en-AU"/>
        </w:rPr>
        <w:t>other states and territories</w:t>
      </w:r>
      <w:r w:rsidRPr="006968AA">
        <w:rPr>
          <w:sz w:val="22"/>
          <w:szCs w:val="22"/>
          <w:lang w:val="en-AU"/>
        </w:rPr>
        <w:t xml:space="preserve"> Monday to Friday, excluding public holidays. </w:t>
      </w:r>
    </w:p>
    <w:p w:rsidR="0067621B" w:rsidRPr="006968AA" w:rsidRDefault="0067621B" w:rsidP="0067621B">
      <w:pPr>
        <w:pStyle w:val="Body"/>
        <w:spacing w:after="120" w:line="276" w:lineRule="auto"/>
        <w:ind w:right="-34"/>
        <w:jc w:val="both"/>
        <w:rPr>
          <w:sz w:val="22"/>
          <w:szCs w:val="22"/>
          <w:lang w:val="en-AU"/>
        </w:rPr>
      </w:pPr>
      <w:r w:rsidRPr="006968AA">
        <w:rPr>
          <w:b/>
          <w:sz w:val="22"/>
          <w:szCs w:val="22"/>
          <w:lang w:val="en-AU"/>
        </w:rPr>
        <w:t>Email</w:t>
      </w:r>
      <w:r w:rsidRPr="006968AA">
        <w:rPr>
          <w:sz w:val="22"/>
          <w:szCs w:val="22"/>
          <w:lang w:val="en-AU"/>
        </w:rPr>
        <w:t xml:space="preserve">: </w:t>
      </w:r>
      <w:hyperlink r:id="rId23" w:history="1">
        <w:r w:rsidRPr="006968AA">
          <w:rPr>
            <w:rStyle w:val="Hyperlink"/>
            <w:sz w:val="22"/>
            <w:szCs w:val="22"/>
            <w:lang w:val="en-AU"/>
          </w:rPr>
          <w:t>contactcentre@ndiscommission.gov.au</w:t>
        </w:r>
      </w:hyperlink>
      <w:r w:rsidRPr="006968AA">
        <w:rPr>
          <w:sz w:val="22"/>
          <w:szCs w:val="22"/>
          <w:lang w:val="en-AU"/>
        </w:rPr>
        <w:t xml:space="preserve"> </w:t>
      </w:r>
    </w:p>
    <w:p w:rsidR="00FE1A5E" w:rsidRPr="006968AA" w:rsidRDefault="0067621B" w:rsidP="0067621B">
      <w:pPr>
        <w:pStyle w:val="Body"/>
        <w:spacing w:after="120" w:line="276" w:lineRule="auto"/>
        <w:ind w:right="-34"/>
        <w:jc w:val="both"/>
        <w:rPr>
          <w:lang w:val="en-AU"/>
        </w:rPr>
      </w:pPr>
      <w:r w:rsidRPr="006968AA">
        <w:rPr>
          <w:b/>
          <w:sz w:val="22"/>
          <w:szCs w:val="22"/>
          <w:lang w:val="en-AU"/>
        </w:rPr>
        <w:t>Website</w:t>
      </w:r>
      <w:r w:rsidRPr="006968AA">
        <w:rPr>
          <w:sz w:val="22"/>
          <w:szCs w:val="22"/>
          <w:lang w:val="en-AU"/>
        </w:rPr>
        <w:t xml:space="preserve">: </w:t>
      </w:r>
      <w:hyperlink r:id="rId24" w:history="1">
        <w:r w:rsidRPr="006968AA">
          <w:rPr>
            <w:rStyle w:val="Hyperlink"/>
            <w:sz w:val="22"/>
            <w:szCs w:val="22"/>
            <w:lang w:val="en-AU"/>
          </w:rPr>
          <w:t>www.ndiscommission.gov.au</w:t>
        </w:r>
      </w:hyperlink>
    </w:p>
    <w:p w:rsidR="00CB64BD" w:rsidRPr="006968AA" w:rsidRDefault="00CB64BD" w:rsidP="006D6D91">
      <w:pPr>
        <w:spacing w:before="120" w:after="120" w:line="240" w:lineRule="auto"/>
      </w:pPr>
    </w:p>
    <w:sectPr w:rsidR="00CB64BD" w:rsidRPr="006968AA" w:rsidSect="00362AB6">
      <w:headerReference w:type="default" r:id="rId25"/>
      <w:footerReference w:type="default" r:id="rId26"/>
      <w:headerReference w:type="first" r:id="rId27"/>
      <w:footerReference w:type="first" r:id="rId28"/>
      <w:type w:val="continuous"/>
      <w:pgSz w:w="11906" w:h="16838" w:code="9"/>
      <w:pgMar w:top="1440" w:right="1440" w:bottom="1440" w:left="1440"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9B0" w:rsidRDefault="003D29B0" w:rsidP="008E21DE">
      <w:pPr>
        <w:spacing w:after="0"/>
      </w:pPr>
      <w:r>
        <w:separator/>
      </w:r>
    </w:p>
  </w:endnote>
  <w:endnote w:type="continuationSeparator" w:id="0">
    <w:p w:rsidR="003D29B0" w:rsidRDefault="003D29B0" w:rsidP="008E21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6D7" w:rsidRPr="0067621B" w:rsidRDefault="0067621B" w:rsidP="0067621B">
    <w:pPr>
      <w:pStyle w:val="Footer"/>
      <w:pBdr>
        <w:top w:val="single" w:sz="4" w:space="1" w:color="auto"/>
      </w:pBdr>
      <w:jc w:val="both"/>
    </w:pPr>
    <w:r>
      <w:t>Practice Alert: Polypharmacy</w:t>
    </w:r>
    <w:r>
      <w:tab/>
    </w:r>
    <w:r>
      <w:tab/>
      <w:t xml:space="preserve">Page </w:t>
    </w:r>
    <w:r>
      <w:fldChar w:fldCharType="begin"/>
    </w:r>
    <w:r>
      <w:instrText xml:space="preserve"> PAGE   \* MERGEFORMAT </w:instrText>
    </w:r>
    <w:r>
      <w:fldChar w:fldCharType="separate"/>
    </w:r>
    <w:r w:rsidR="00096EE8">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1DE" w:rsidRPr="00080615" w:rsidRDefault="0067621B" w:rsidP="0067621B">
    <w:pPr>
      <w:pStyle w:val="Footer"/>
      <w:pBdr>
        <w:top w:val="single" w:sz="4" w:space="1" w:color="auto"/>
      </w:pBdr>
      <w:jc w:val="both"/>
    </w:pPr>
    <w:r>
      <w:t>Practice Alert: Polypharmacy</w:t>
    </w:r>
    <w:r>
      <w:tab/>
    </w:r>
    <w:r>
      <w:tab/>
      <w:t xml:space="preserve">Page </w:t>
    </w:r>
    <w:r>
      <w:fldChar w:fldCharType="begin"/>
    </w:r>
    <w:r>
      <w:instrText xml:space="preserve"> PAGE   \* MERGEFORMAT </w:instrText>
    </w:r>
    <w:r>
      <w:fldChar w:fldCharType="separate"/>
    </w:r>
    <w:r w:rsidR="00096EE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9B0" w:rsidRDefault="003D29B0" w:rsidP="008E21DE">
      <w:pPr>
        <w:spacing w:after="0"/>
      </w:pPr>
      <w:r>
        <w:separator/>
      </w:r>
    </w:p>
  </w:footnote>
  <w:footnote w:type="continuationSeparator" w:id="0">
    <w:p w:rsidR="003D29B0" w:rsidRDefault="003D29B0" w:rsidP="008E21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938" w:rsidRDefault="008B7938">
    <w:pPr>
      <w:pStyle w:val="Header"/>
    </w:pPr>
  </w:p>
  <w:p w:rsidR="00680A20" w:rsidRDefault="00362AB6">
    <w:pPr>
      <w:pStyle w:val="Header"/>
    </w:pPr>
    <w:r>
      <w:rPr>
        <w:b w:val="0"/>
        <w:bCs/>
        <w:noProof/>
        <w:lang w:eastAsia="zh-CN" w:bidi="hi-IN"/>
      </w:rPr>
      <mc:AlternateContent>
        <mc:Choice Requires="wps">
          <w:drawing>
            <wp:inline distT="0" distB="0" distL="0" distR="0">
              <wp:extent cx="5734800" cy="75600"/>
              <wp:effectExtent l="0" t="0" r="0" b="635"/>
              <wp:docPr id="2" name="Rectangle 2"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564123" id="Rectangle 2"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709" w:rsidRDefault="00182709">
    <w:pPr>
      <w:pStyle w:val="Header"/>
    </w:pPr>
    <w:r>
      <w:rPr>
        <w:noProof/>
        <w:lang w:eastAsia="en-AU"/>
      </w:rPr>
      <w:ptab w:relativeTo="margin" w:alignment="left" w:leader="none"/>
    </w:r>
    <w:r w:rsidR="00EE737C">
      <w:rPr>
        <w:noProof/>
        <w:lang w:eastAsia="zh-CN" w:bidi="hi-IN"/>
      </w:rPr>
      <w:drawing>
        <wp:inline distT="0" distB="0" distL="0" distR="0">
          <wp:extent cx="3404235" cy="1223842"/>
          <wp:effectExtent l="0" t="0" r="5715" b="0"/>
          <wp:docPr id="11" name="Picture 11"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3404294" cy="12238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694A"/>
    <w:multiLevelType w:val="hybridMultilevel"/>
    <w:tmpl w:val="2DE4DF04"/>
    <w:lvl w:ilvl="0" w:tplc="35FEC1EC">
      <w:start w:val="1"/>
      <w:numFmt w:val="bullet"/>
      <w:lvlText w:val=""/>
      <w:lvlJc w:val="left"/>
      <w:pPr>
        <w:ind w:left="714" w:hanging="357"/>
      </w:pPr>
      <w:rPr>
        <w:rFonts w:ascii="Symbol" w:hAnsi="Symbol" w:hint="default"/>
        <w:b w:val="0"/>
        <w:bCs w:val="0"/>
        <w:i w:val="0"/>
        <w:iCs w:val="0"/>
        <w:caps w:val="0"/>
        <w:smallCaps w:val="0"/>
        <w:strike w:val="0"/>
        <w:dstrike w:val="0"/>
        <w:outline w:val="0"/>
        <w:emboss w:val="0"/>
        <w:imprint w:val="0"/>
        <w:color w:val="962C8B" w:themeColor="accent2"/>
        <w:spacing w:val="0"/>
        <w:w w:val="100"/>
        <w:kern w:val="0"/>
        <w:position w:val="0"/>
        <w:highlight w:val="none"/>
        <w:vertAlign w:val="baseline"/>
      </w:rPr>
    </w:lvl>
    <w:lvl w:ilvl="1" w:tplc="2F5651B8">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0E7A4C">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F0C3948">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1A04776">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AA973A">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710308A">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EE4322">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74888DA">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A005EF4"/>
    <w:multiLevelType w:val="hybridMultilevel"/>
    <w:tmpl w:val="1194D1BA"/>
    <w:styleLink w:val="ImportedStyle7"/>
    <w:lvl w:ilvl="0" w:tplc="88243E6C">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E8C33F0">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278F4AC">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CC4D28">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2E4264">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B9099E0">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7DEA3A4">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47C799A">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6A459A">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BD21877"/>
    <w:multiLevelType w:val="hybridMultilevel"/>
    <w:tmpl w:val="1194D1BA"/>
    <w:numStyleLink w:val="ImportedStyle7"/>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49F408F"/>
    <w:multiLevelType w:val="hybridMultilevel"/>
    <w:tmpl w:val="E48083BC"/>
    <w:styleLink w:val="ImportedStyle3"/>
    <w:lvl w:ilvl="0" w:tplc="48F66F5A">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EBCE0CA">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00CDEA2">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6AB7B6">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58195E">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8026F8">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3A030C">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101C96">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2D8421A">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77803FF"/>
    <w:multiLevelType w:val="hybridMultilevel"/>
    <w:tmpl w:val="36EA4152"/>
    <w:lvl w:ilvl="0" w:tplc="70C6FF94">
      <w:start w:val="1"/>
      <w:numFmt w:val="bullet"/>
      <w:pStyle w:val="6Abou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C547A44"/>
    <w:multiLevelType w:val="hybridMultilevel"/>
    <w:tmpl w:val="A13ABF3A"/>
    <w:styleLink w:val="ImportedStyle9"/>
    <w:lvl w:ilvl="0" w:tplc="BBBEF12C">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D9AA3A4">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DEAF61E">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34CCC6">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A8D308">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340C6DC">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46F3FA">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C47EDA">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606129A">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14F17BA"/>
    <w:multiLevelType w:val="hybridMultilevel"/>
    <w:tmpl w:val="F7ECBDD6"/>
    <w:lvl w:ilvl="0" w:tplc="35FEC1EC">
      <w:start w:val="1"/>
      <w:numFmt w:val="bullet"/>
      <w:lvlText w:val=""/>
      <w:lvlJc w:val="left"/>
      <w:pPr>
        <w:ind w:left="714" w:hanging="357"/>
      </w:pPr>
      <w:rPr>
        <w:rFonts w:ascii="Symbol" w:hAnsi="Symbol" w:hint="default"/>
        <w:b w:val="0"/>
        <w:bCs w:val="0"/>
        <w:i w:val="0"/>
        <w:iCs w:val="0"/>
        <w:caps w:val="0"/>
        <w:smallCaps w:val="0"/>
        <w:strike w:val="0"/>
        <w:dstrike w:val="0"/>
        <w:outline w:val="0"/>
        <w:emboss w:val="0"/>
        <w:imprint w:val="0"/>
        <w:color w:val="962C8B" w:themeColor="accent2"/>
        <w:spacing w:val="0"/>
        <w:w w:val="100"/>
        <w:kern w:val="0"/>
        <w:position w:val="0"/>
        <w:highlight w:val="none"/>
        <w:vertAlign w:val="baseline"/>
      </w:rPr>
    </w:lvl>
    <w:lvl w:ilvl="1" w:tplc="5BFAF0EA">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7A2E5D4">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4EC226">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AC6FBC">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B4F1B0">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CB0F248">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3A715E">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DBEA1F0">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B493A92"/>
    <w:multiLevelType w:val="hybridMultilevel"/>
    <w:tmpl w:val="5E22A42E"/>
    <w:numStyleLink w:val="ImportedStyle6"/>
  </w:abstractNum>
  <w:abstractNum w:abstractNumId="12" w15:restartNumberingAfterBreak="0">
    <w:nsid w:val="2D7B7E17"/>
    <w:multiLevelType w:val="hybridMultilevel"/>
    <w:tmpl w:val="F654B4FE"/>
    <w:lvl w:ilvl="0" w:tplc="35FEC1EC">
      <w:start w:val="1"/>
      <w:numFmt w:val="bullet"/>
      <w:lvlText w:val=""/>
      <w:lvlJc w:val="left"/>
      <w:pPr>
        <w:ind w:left="1077" w:hanging="360"/>
      </w:pPr>
      <w:rPr>
        <w:rFonts w:ascii="Symbol" w:hAnsi="Symbol" w:hint="default"/>
        <w:color w:val="962C8B" w:themeColor="accent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15:restartNumberingAfterBreak="0">
    <w:nsid w:val="32A46938"/>
    <w:multiLevelType w:val="hybridMultilevel"/>
    <w:tmpl w:val="AF9A1B38"/>
    <w:lvl w:ilvl="0" w:tplc="35FEC1EC">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color w:val="962C8B" w:themeColor="accent2"/>
        <w:spacing w:val="0"/>
        <w:w w:val="100"/>
        <w:kern w:val="0"/>
        <w:position w:val="0"/>
        <w:highlight w:val="none"/>
        <w:vertAlign w:val="baseline"/>
      </w:rPr>
    </w:lvl>
    <w:lvl w:ilvl="1" w:tplc="A7CE06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A28E3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7ECFF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73E6D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1C38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12212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C78ED9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E2AAD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5" w15:restartNumberingAfterBreak="0">
    <w:nsid w:val="50870D58"/>
    <w:multiLevelType w:val="hybridMultilevel"/>
    <w:tmpl w:val="4E94FB12"/>
    <w:styleLink w:val="ImportedStyle2"/>
    <w:lvl w:ilvl="0" w:tplc="A830E8B0">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7ABAC8">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F0AEBA">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B663D50">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F04E21A">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71CD744">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985F5C">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46A46FA">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CCA4126">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8615703"/>
    <w:multiLevelType w:val="multilevel"/>
    <w:tmpl w:val="803CF862"/>
    <w:numStyleLink w:val="List1Numbered"/>
  </w:abstractNum>
  <w:abstractNum w:abstractNumId="19" w15:restartNumberingAfterBreak="0">
    <w:nsid w:val="5A7344CC"/>
    <w:multiLevelType w:val="hybridMultilevel"/>
    <w:tmpl w:val="3170E92C"/>
    <w:styleLink w:val="ImportedStyle5"/>
    <w:lvl w:ilvl="0" w:tplc="E5CE978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9AE3D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144FC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8B6D5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9F2C6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D0AA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B16C6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B0AEB8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97647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A8436DB"/>
    <w:multiLevelType w:val="hybridMultilevel"/>
    <w:tmpl w:val="5E22A42E"/>
    <w:styleLink w:val="ImportedStyle6"/>
    <w:lvl w:ilvl="0" w:tplc="014638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D708C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946B3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83225F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68675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EC45A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ECDFD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AD8DC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1CD5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A995E73"/>
    <w:multiLevelType w:val="hybridMultilevel"/>
    <w:tmpl w:val="8B2E05A2"/>
    <w:numStyleLink w:val="ImportedStyle8"/>
  </w:abstractNum>
  <w:abstractNum w:abstractNumId="22" w15:restartNumberingAfterBreak="0">
    <w:nsid w:val="5D611EE2"/>
    <w:multiLevelType w:val="hybridMultilevel"/>
    <w:tmpl w:val="F60010A4"/>
    <w:lvl w:ilvl="0" w:tplc="35FEC1EC">
      <w:start w:val="1"/>
      <w:numFmt w:val="bullet"/>
      <w:lvlText w:val=""/>
      <w:lvlJc w:val="left"/>
      <w:pPr>
        <w:ind w:left="714" w:hanging="357"/>
      </w:pPr>
      <w:rPr>
        <w:rFonts w:ascii="Symbol" w:hAnsi="Symbol" w:hint="default"/>
        <w:b w:val="0"/>
        <w:bCs w:val="0"/>
        <w:i w:val="0"/>
        <w:iCs w:val="0"/>
        <w:caps w:val="0"/>
        <w:smallCaps w:val="0"/>
        <w:strike w:val="0"/>
        <w:dstrike w:val="0"/>
        <w:outline w:val="0"/>
        <w:emboss w:val="0"/>
        <w:imprint w:val="0"/>
        <w:color w:val="962C8B" w:themeColor="accent2"/>
        <w:spacing w:val="0"/>
        <w:w w:val="100"/>
        <w:kern w:val="0"/>
        <w:position w:val="0"/>
        <w:highlight w:val="none"/>
        <w:vertAlign w:val="baseline"/>
      </w:rPr>
    </w:lvl>
    <w:lvl w:ilvl="1" w:tplc="2F5651B8">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0E7A4C">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F0C3948">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1A04776">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AA973A">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710308A">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EE4322">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74888DA">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D9C672C"/>
    <w:multiLevelType w:val="hybridMultilevel"/>
    <w:tmpl w:val="8B2E05A2"/>
    <w:styleLink w:val="ImportedStyle8"/>
    <w:lvl w:ilvl="0" w:tplc="9B56CAF8">
      <w:start w:val="1"/>
      <w:numFmt w:val="bullet"/>
      <w:lvlText w:val="•"/>
      <w:lvlJc w:val="left"/>
      <w:pPr>
        <w:ind w:left="71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E68C91C">
      <w:start w:val="1"/>
      <w:numFmt w:val="bullet"/>
      <w:lvlText w:val="o"/>
      <w:lvlJc w:val="left"/>
      <w:pPr>
        <w:ind w:left="143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9E22566">
      <w:start w:val="1"/>
      <w:numFmt w:val="bullet"/>
      <w:lvlText w:val="▪"/>
      <w:lvlJc w:val="left"/>
      <w:pPr>
        <w:ind w:left="215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2438CBCE">
      <w:start w:val="1"/>
      <w:numFmt w:val="bullet"/>
      <w:lvlText w:val="•"/>
      <w:lvlJc w:val="left"/>
      <w:pPr>
        <w:ind w:left="287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5404922C">
      <w:start w:val="1"/>
      <w:numFmt w:val="bullet"/>
      <w:lvlText w:val="o"/>
      <w:lvlJc w:val="left"/>
      <w:pPr>
        <w:ind w:left="359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0A02F4A">
      <w:start w:val="1"/>
      <w:numFmt w:val="bullet"/>
      <w:lvlText w:val="▪"/>
      <w:lvlJc w:val="left"/>
      <w:pPr>
        <w:ind w:left="431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9B8486CE">
      <w:start w:val="1"/>
      <w:numFmt w:val="bullet"/>
      <w:lvlText w:val="•"/>
      <w:lvlJc w:val="left"/>
      <w:pPr>
        <w:ind w:left="503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2140F538">
      <w:start w:val="1"/>
      <w:numFmt w:val="bullet"/>
      <w:lvlText w:val="o"/>
      <w:lvlJc w:val="left"/>
      <w:pPr>
        <w:ind w:left="575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6327E70">
      <w:start w:val="1"/>
      <w:numFmt w:val="bullet"/>
      <w:lvlText w:val="▪"/>
      <w:lvlJc w:val="left"/>
      <w:pPr>
        <w:ind w:left="647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69E1443"/>
    <w:multiLevelType w:val="hybridMultilevel"/>
    <w:tmpl w:val="3170E92C"/>
    <w:numStyleLink w:val="ImportedStyle5"/>
  </w:abstractNum>
  <w:abstractNum w:abstractNumId="25" w15:restartNumberingAfterBreak="0">
    <w:nsid w:val="67CB14EB"/>
    <w:multiLevelType w:val="hybridMultilevel"/>
    <w:tmpl w:val="4E94FB12"/>
    <w:numStyleLink w:val="ImportedStyle2"/>
  </w:abstractNum>
  <w:abstractNum w:abstractNumId="26" w15:restartNumberingAfterBreak="0">
    <w:nsid w:val="685007B5"/>
    <w:multiLevelType w:val="hybridMultilevel"/>
    <w:tmpl w:val="A93609AA"/>
    <w:lvl w:ilvl="0" w:tplc="35FEC1EC">
      <w:start w:val="1"/>
      <w:numFmt w:val="bullet"/>
      <w:lvlText w:val=""/>
      <w:lvlJc w:val="left"/>
      <w:pPr>
        <w:ind w:left="720" w:hanging="360"/>
      </w:pPr>
      <w:rPr>
        <w:rFonts w:ascii="Symbol" w:hAnsi="Symbol" w:hint="default"/>
        <w:color w:val="962C8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4F423B"/>
    <w:multiLevelType w:val="multilevel"/>
    <w:tmpl w:val="4A7CCC2C"/>
    <w:numStyleLink w:val="DefaultBullets"/>
  </w:abstractNum>
  <w:abstractNum w:abstractNumId="28" w15:restartNumberingAfterBreak="0">
    <w:nsid w:val="719A707A"/>
    <w:multiLevelType w:val="hybridMultilevel"/>
    <w:tmpl w:val="E48083BC"/>
    <w:numStyleLink w:val="ImportedStyle3"/>
  </w:abstractNum>
  <w:abstractNum w:abstractNumId="29"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764466A9"/>
    <w:multiLevelType w:val="hybridMultilevel"/>
    <w:tmpl w:val="A13ABF3A"/>
    <w:numStyleLink w:val="ImportedStyle9"/>
  </w:abstractNum>
  <w:abstractNum w:abstractNumId="31" w15:restartNumberingAfterBreak="0">
    <w:nsid w:val="790B67C4"/>
    <w:multiLevelType w:val="multilevel"/>
    <w:tmpl w:val="FE688822"/>
    <w:numStyleLink w:val="BoxedBullets"/>
  </w:abstractNum>
  <w:num w:numId="1">
    <w:abstractNumId w:val="3"/>
  </w:num>
  <w:num w:numId="2">
    <w:abstractNumId w:val="16"/>
  </w:num>
  <w:num w:numId="3">
    <w:abstractNumId w:val="31"/>
  </w:num>
  <w:num w:numId="4">
    <w:abstractNumId w:val="14"/>
  </w:num>
  <w:num w:numId="5">
    <w:abstractNumId w:val="8"/>
  </w:num>
  <w:num w:numId="6">
    <w:abstractNumId w:val="6"/>
  </w:num>
  <w:num w:numId="7">
    <w:abstractNumId w:val="18"/>
  </w:num>
  <w:num w:numId="8">
    <w:abstractNumId w:val="17"/>
  </w:num>
  <w:num w:numId="9">
    <w:abstractNumId w:val="9"/>
  </w:num>
  <w:num w:numId="10">
    <w:abstractNumId w:val="29"/>
  </w:num>
  <w:num w:numId="11">
    <w:abstractNumId w:val="27"/>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15"/>
  </w:num>
  <w:num w:numId="13">
    <w:abstractNumId w:val="25"/>
  </w:num>
  <w:num w:numId="14">
    <w:abstractNumId w:val="4"/>
  </w:num>
  <w:num w:numId="15">
    <w:abstractNumId w:val="28"/>
  </w:num>
  <w:num w:numId="16">
    <w:abstractNumId w:val="19"/>
  </w:num>
  <w:num w:numId="17">
    <w:abstractNumId w:val="24"/>
  </w:num>
  <w:num w:numId="18">
    <w:abstractNumId w:val="20"/>
  </w:num>
  <w:num w:numId="19">
    <w:abstractNumId w:val="11"/>
  </w:num>
  <w:num w:numId="20">
    <w:abstractNumId w:val="1"/>
  </w:num>
  <w:num w:numId="21">
    <w:abstractNumId w:val="2"/>
  </w:num>
  <w:num w:numId="22">
    <w:abstractNumId w:val="2"/>
    <w:lvlOverride w:ilvl="0">
      <w:lvl w:ilvl="0" w:tplc="C7DE32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2C0BDB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3F042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CC2EA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E5AB8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B107E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9F83B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860FD9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9AA42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23"/>
  </w:num>
  <w:num w:numId="24">
    <w:abstractNumId w:val="21"/>
  </w:num>
  <w:num w:numId="25">
    <w:abstractNumId w:val="7"/>
  </w:num>
  <w:num w:numId="26">
    <w:abstractNumId w:val="30"/>
  </w:num>
  <w:num w:numId="27">
    <w:abstractNumId w:val="30"/>
    <w:lvlOverride w:ilvl="0">
      <w:lvl w:ilvl="0" w:tplc="C978BF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620FA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B8E4F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1B224A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43A1E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8DACA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6C229C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25A2C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CCAAA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abstractNumId w:val="5"/>
  </w:num>
  <w:num w:numId="29">
    <w:abstractNumId w:val="22"/>
  </w:num>
  <w:num w:numId="30">
    <w:abstractNumId w:val="0"/>
  </w:num>
  <w:num w:numId="31">
    <w:abstractNumId w:val="13"/>
  </w:num>
  <w:num w:numId="32">
    <w:abstractNumId w:val="26"/>
  </w:num>
  <w:num w:numId="33">
    <w:abstractNumId w:val="12"/>
  </w:num>
  <w:num w:numId="34">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A5E"/>
    <w:rsid w:val="00043D08"/>
    <w:rsid w:val="00051DF7"/>
    <w:rsid w:val="00080615"/>
    <w:rsid w:val="00096EE8"/>
    <w:rsid w:val="000C252F"/>
    <w:rsid w:val="000F3A54"/>
    <w:rsid w:val="000F48FC"/>
    <w:rsid w:val="00182709"/>
    <w:rsid w:val="00201052"/>
    <w:rsid w:val="00231AAC"/>
    <w:rsid w:val="002804D3"/>
    <w:rsid w:val="00322DE3"/>
    <w:rsid w:val="003449A0"/>
    <w:rsid w:val="00362AB6"/>
    <w:rsid w:val="003D29B0"/>
    <w:rsid w:val="003F29B8"/>
    <w:rsid w:val="004154E2"/>
    <w:rsid w:val="004D4273"/>
    <w:rsid w:val="00534D53"/>
    <w:rsid w:val="005B053D"/>
    <w:rsid w:val="00625854"/>
    <w:rsid w:val="00651348"/>
    <w:rsid w:val="0067621B"/>
    <w:rsid w:val="00680A20"/>
    <w:rsid w:val="00680F04"/>
    <w:rsid w:val="006968AA"/>
    <w:rsid w:val="006D6D91"/>
    <w:rsid w:val="0078103B"/>
    <w:rsid w:val="008A649A"/>
    <w:rsid w:val="008B7938"/>
    <w:rsid w:val="008E21DE"/>
    <w:rsid w:val="0092679E"/>
    <w:rsid w:val="009539C8"/>
    <w:rsid w:val="009D06E2"/>
    <w:rsid w:val="009F4EAA"/>
    <w:rsid w:val="00A07E4A"/>
    <w:rsid w:val="00A60009"/>
    <w:rsid w:val="00A92EE6"/>
    <w:rsid w:val="00AA094B"/>
    <w:rsid w:val="00AB12D5"/>
    <w:rsid w:val="00AD735D"/>
    <w:rsid w:val="00AF0899"/>
    <w:rsid w:val="00B0476B"/>
    <w:rsid w:val="00B603C0"/>
    <w:rsid w:val="00B83AB4"/>
    <w:rsid w:val="00B90A43"/>
    <w:rsid w:val="00BA4FF9"/>
    <w:rsid w:val="00BC3BA1"/>
    <w:rsid w:val="00C0421C"/>
    <w:rsid w:val="00C10202"/>
    <w:rsid w:val="00C21944"/>
    <w:rsid w:val="00C2698C"/>
    <w:rsid w:val="00C52C59"/>
    <w:rsid w:val="00C90DF2"/>
    <w:rsid w:val="00CB64BD"/>
    <w:rsid w:val="00DF74BA"/>
    <w:rsid w:val="00E243C4"/>
    <w:rsid w:val="00E260AC"/>
    <w:rsid w:val="00E40290"/>
    <w:rsid w:val="00EE737C"/>
    <w:rsid w:val="00F41613"/>
    <w:rsid w:val="00F9318C"/>
    <w:rsid w:val="00FD66D7"/>
    <w:rsid w:val="00FE1A5E"/>
    <w:rsid w:val="00FE57A7"/>
    <w:rsid w:val="00FF634B"/>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93333B"/>
  <w15:chartTrackingRefBased/>
  <w15:docId w15:val="{C141A5A3-D1A8-4DA3-9CAE-AF09D8CD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A5E"/>
    <w:pPr>
      <w:spacing w:before="0" w:after="200" w:line="276" w:lineRule="auto"/>
    </w:pPr>
    <w:rPr>
      <w:rFonts w:ascii="Arial" w:hAnsi="Arial"/>
      <w:color w:val="auto"/>
      <w:sz w:val="22"/>
      <w:szCs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qFormat/>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9"/>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CB64BD"/>
    <w:pPr>
      <w:keepNext/>
      <w:tabs>
        <w:tab w:val="right" w:leader="dot" w:pos="9628"/>
      </w:tabs>
      <w:spacing w:before="120" w:after="120" w:line="240" w:lineRule="auto"/>
    </w:pPr>
    <w:rPr>
      <w:rFonts w:asciiTheme="majorHAnsi" w:hAnsiTheme="majorHAnsi"/>
      <w:sz w:val="24"/>
    </w:rPr>
  </w:style>
  <w:style w:type="paragraph" w:styleId="TOC2">
    <w:name w:val="toc 2"/>
    <w:basedOn w:val="Normal"/>
    <w:next w:val="Normal"/>
    <w:autoRedefine/>
    <w:uiPriority w:val="39"/>
    <w:rsid w:val="00CB64BD"/>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styleId="ListParagraph">
    <w:name w:val="List Paragraph"/>
    <w:basedOn w:val="Normal"/>
    <w:qFormat/>
    <w:rsid w:val="00FE1A5E"/>
    <w:pPr>
      <w:ind w:left="720"/>
      <w:contextualSpacing/>
    </w:pPr>
  </w:style>
  <w:style w:type="paragraph" w:customStyle="1" w:styleId="Heading">
    <w:name w:val="Heading"/>
    <w:next w:val="BodyA"/>
    <w:rsid w:val="00FE1A5E"/>
    <w:pPr>
      <w:keepNext/>
      <w:keepLines/>
      <w:pBdr>
        <w:top w:val="nil"/>
        <w:left w:val="nil"/>
        <w:bottom w:val="nil"/>
        <w:right w:val="nil"/>
        <w:between w:val="nil"/>
        <w:bar w:val="nil"/>
      </w:pBdr>
      <w:suppressAutoHyphens/>
      <w:spacing w:before="360" w:after="200" w:line="280" w:lineRule="atLeast"/>
      <w:outlineLvl w:val="0"/>
    </w:pPr>
    <w:rPr>
      <w:rFonts w:ascii="Calibri" w:eastAsia="Calibri" w:hAnsi="Calibri" w:cs="Calibri"/>
      <w:b/>
      <w:bCs/>
      <w:color w:val="612C69"/>
      <w:sz w:val="40"/>
      <w:szCs w:val="40"/>
      <w:u w:color="612C69"/>
      <w:bdr w:val="nil"/>
      <w:lang w:val="en-US" w:eastAsia="en-AU"/>
    </w:rPr>
  </w:style>
  <w:style w:type="paragraph" w:customStyle="1" w:styleId="BodyA">
    <w:name w:val="Body A"/>
    <w:rsid w:val="00FE1A5E"/>
    <w:pPr>
      <w:pBdr>
        <w:top w:val="nil"/>
        <w:left w:val="nil"/>
        <w:bottom w:val="nil"/>
        <w:right w:val="nil"/>
        <w:between w:val="nil"/>
        <w:bar w:val="nil"/>
      </w:pBdr>
      <w:suppressAutoHyphens/>
      <w:spacing w:before="200" w:after="200" w:line="280" w:lineRule="atLeast"/>
    </w:pPr>
    <w:rPr>
      <w:rFonts w:ascii="Calibri" w:eastAsia="Calibri" w:hAnsi="Calibri" w:cs="Calibri"/>
      <w:color w:val="000000"/>
      <w:sz w:val="22"/>
      <w:szCs w:val="22"/>
      <w:u w:color="000000"/>
      <w:bdr w:val="nil"/>
      <w:lang w:val="en-US" w:eastAsia="en-AU"/>
    </w:rPr>
  </w:style>
  <w:style w:type="numbering" w:customStyle="1" w:styleId="ImportedStyle2">
    <w:name w:val="Imported Style 2"/>
    <w:rsid w:val="00FE1A5E"/>
    <w:pPr>
      <w:numPr>
        <w:numId w:val="12"/>
      </w:numPr>
    </w:pPr>
  </w:style>
  <w:style w:type="numbering" w:customStyle="1" w:styleId="ImportedStyle3">
    <w:name w:val="Imported Style 3"/>
    <w:rsid w:val="00FE1A5E"/>
    <w:pPr>
      <w:numPr>
        <w:numId w:val="14"/>
      </w:numPr>
    </w:pPr>
  </w:style>
  <w:style w:type="numbering" w:customStyle="1" w:styleId="ImportedStyle5">
    <w:name w:val="Imported Style 5"/>
    <w:rsid w:val="00FE1A5E"/>
    <w:pPr>
      <w:numPr>
        <w:numId w:val="16"/>
      </w:numPr>
    </w:pPr>
  </w:style>
  <w:style w:type="numbering" w:customStyle="1" w:styleId="ImportedStyle6">
    <w:name w:val="Imported Style 6"/>
    <w:rsid w:val="00FE1A5E"/>
    <w:pPr>
      <w:numPr>
        <w:numId w:val="18"/>
      </w:numPr>
    </w:pPr>
  </w:style>
  <w:style w:type="numbering" w:customStyle="1" w:styleId="ImportedStyle7">
    <w:name w:val="Imported Style 7"/>
    <w:rsid w:val="00FE1A5E"/>
    <w:pPr>
      <w:numPr>
        <w:numId w:val="20"/>
      </w:numPr>
    </w:pPr>
  </w:style>
  <w:style w:type="paragraph" w:customStyle="1" w:styleId="Default">
    <w:name w:val="Default"/>
    <w:rsid w:val="00FE1A5E"/>
    <w:pPr>
      <w:pBdr>
        <w:top w:val="nil"/>
        <w:left w:val="nil"/>
        <w:bottom w:val="nil"/>
        <w:right w:val="nil"/>
        <w:between w:val="nil"/>
        <w:bar w:val="nil"/>
      </w:pBdr>
      <w:suppressAutoHyphens/>
      <w:spacing w:before="0" w:after="0" w:line="280" w:lineRule="atLeast"/>
    </w:pPr>
    <w:rPr>
      <w:rFonts w:ascii="Times New Roman" w:eastAsia="Arial Unicode MS" w:hAnsi="Times New Roman" w:cs="Arial Unicode MS"/>
      <w:color w:val="000000"/>
      <w:sz w:val="24"/>
      <w:szCs w:val="24"/>
      <w:u w:color="000000"/>
      <w:bdr w:val="nil"/>
      <w:lang w:val="en-US" w:eastAsia="en-AU"/>
    </w:rPr>
  </w:style>
  <w:style w:type="numbering" w:customStyle="1" w:styleId="ImportedStyle8">
    <w:name w:val="Imported Style 8"/>
    <w:rsid w:val="00FE1A5E"/>
    <w:pPr>
      <w:numPr>
        <w:numId w:val="23"/>
      </w:numPr>
    </w:pPr>
  </w:style>
  <w:style w:type="numbering" w:customStyle="1" w:styleId="ImportedStyle9">
    <w:name w:val="Imported Style 9"/>
    <w:rsid w:val="00FE1A5E"/>
    <w:pPr>
      <w:numPr>
        <w:numId w:val="25"/>
      </w:numPr>
    </w:pPr>
  </w:style>
  <w:style w:type="character" w:customStyle="1" w:styleId="None">
    <w:name w:val="None"/>
    <w:rsid w:val="00FE1A5E"/>
  </w:style>
  <w:style w:type="character" w:customStyle="1" w:styleId="Hyperlink0">
    <w:name w:val="Hyperlink.0"/>
    <w:basedOn w:val="None"/>
    <w:rsid w:val="00FE1A5E"/>
    <w:rPr>
      <w:color w:val="943C84"/>
      <w:u w:val="single" w:color="943C84"/>
    </w:rPr>
  </w:style>
  <w:style w:type="character" w:customStyle="1" w:styleId="Hyperlink1">
    <w:name w:val="Hyperlink.1"/>
    <w:basedOn w:val="None"/>
    <w:rsid w:val="00FE1A5E"/>
    <w:rPr>
      <w:color w:val="962C8B"/>
      <w:u w:val="single" w:color="943C84"/>
    </w:rPr>
  </w:style>
  <w:style w:type="character" w:customStyle="1" w:styleId="Hyperlink2">
    <w:name w:val="Hyperlink.2"/>
    <w:basedOn w:val="DefaultParagraphFont"/>
    <w:rsid w:val="00FE1A5E"/>
    <w:rPr>
      <w:color w:val="962C8B"/>
      <w:u w:val="single" w:color="0000FF"/>
    </w:rPr>
  </w:style>
  <w:style w:type="paragraph" w:customStyle="1" w:styleId="ContactUsheadingh4">
    <w:name w:val="Contact Us heading h4"/>
    <w:next w:val="Heading4"/>
    <w:rsid w:val="00FE1A5E"/>
    <w:pPr>
      <w:keepNext/>
      <w:pBdr>
        <w:top w:val="single" w:sz="48" w:space="0" w:color="5F2E74"/>
        <w:left w:val="nil"/>
        <w:bottom w:val="nil"/>
        <w:right w:val="nil"/>
        <w:between w:val="nil"/>
        <w:bar w:val="nil"/>
      </w:pBdr>
      <w:spacing w:before="360" w:after="200"/>
      <w:outlineLvl w:val="1"/>
    </w:pPr>
    <w:rPr>
      <w:rFonts w:ascii="Calibri" w:eastAsia="Calibri" w:hAnsi="Calibri" w:cs="Calibri"/>
      <w:b/>
      <w:bCs/>
      <w:color w:val="612C69"/>
      <w:sz w:val="40"/>
      <w:szCs w:val="40"/>
      <w:u w:color="612C69"/>
      <w:bdr w:val="nil"/>
      <w:lang w:val="en-US" w:eastAsia="en-AU"/>
    </w:rPr>
  </w:style>
  <w:style w:type="paragraph" w:customStyle="1" w:styleId="BodyAA">
    <w:name w:val="Body A A"/>
    <w:next w:val="BodyA"/>
    <w:rsid w:val="00FE1A5E"/>
    <w:pPr>
      <w:pBdr>
        <w:top w:val="nil"/>
        <w:left w:val="nil"/>
        <w:bottom w:val="nil"/>
        <w:right w:val="nil"/>
        <w:between w:val="nil"/>
        <w:bar w:val="nil"/>
      </w:pBdr>
      <w:spacing w:after="240"/>
    </w:pPr>
    <w:rPr>
      <w:rFonts w:ascii="Calibri" w:eastAsia="Calibri" w:hAnsi="Calibri" w:cs="Calibri"/>
      <w:color w:val="000000"/>
      <w:sz w:val="24"/>
      <w:szCs w:val="24"/>
      <w:u w:color="000000"/>
      <w:bdr w:val="nil"/>
      <w:lang w:val="en-US" w:eastAsia="en-AU"/>
    </w:rPr>
  </w:style>
  <w:style w:type="character" w:customStyle="1" w:styleId="Hyperlink3">
    <w:name w:val="Hyperlink.3"/>
    <w:basedOn w:val="None"/>
    <w:rsid w:val="00FE1A5E"/>
    <w:rPr>
      <w:color w:val="943C84"/>
      <w:sz w:val="22"/>
      <w:szCs w:val="22"/>
      <w:u w:val="single" w:color="943C84"/>
    </w:rPr>
  </w:style>
  <w:style w:type="paragraph" w:customStyle="1" w:styleId="1Documentnameh1">
    <w:name w:val="1. Document name h1"/>
    <w:qFormat/>
    <w:rsid w:val="00FE57A7"/>
    <w:pPr>
      <w:keepNext/>
      <w:pBdr>
        <w:top w:val="single" w:sz="8" w:space="5" w:color="auto"/>
        <w:left w:val="single" w:sz="8" w:space="10" w:color="auto"/>
        <w:bottom w:val="single" w:sz="8" w:space="10" w:color="auto"/>
        <w:right w:val="single" w:sz="8" w:space="10" w:color="auto"/>
      </w:pBdr>
      <w:shd w:val="clear" w:color="auto" w:fill="431C55"/>
      <w:spacing w:before="240" w:after="360" w:line="288" w:lineRule="auto"/>
      <w:ind w:right="-35"/>
      <w:outlineLvl w:val="0"/>
    </w:pPr>
    <w:rPr>
      <w:rFonts w:ascii="Calibri" w:eastAsia="Arial Unicode MS" w:hAnsi="Calibri" w:cs="Arial Unicode MS"/>
      <w:b/>
      <w:bCs/>
      <w:color w:val="FFFFFF"/>
      <w:spacing w:val="6"/>
      <w:sz w:val="32"/>
      <w:szCs w:val="32"/>
      <w:bdr w:val="nil"/>
      <w:lang w:eastAsia="en-AU"/>
      <w14:textOutline w14:w="0" w14:cap="flat" w14:cmpd="sng" w14:algn="ctr">
        <w14:noFill/>
        <w14:prstDash w14:val="solid"/>
        <w14:bevel/>
      </w14:textOutline>
    </w:rPr>
  </w:style>
  <w:style w:type="paragraph" w:customStyle="1" w:styleId="3Titleh3">
    <w:name w:val="3. Title h3"/>
    <w:next w:val="Heading3"/>
    <w:qFormat/>
    <w:rsid w:val="00FE57A7"/>
    <w:pPr>
      <w:keepNext/>
      <w:pBdr>
        <w:top w:val="single" w:sz="8" w:space="5" w:color="auto"/>
        <w:left w:val="single" w:sz="8" w:space="10" w:color="auto"/>
        <w:bottom w:val="single" w:sz="8" w:space="10" w:color="auto"/>
        <w:right w:val="single" w:sz="8" w:space="10" w:color="auto"/>
      </w:pBdr>
      <w:shd w:val="clear" w:color="auto" w:fill="431C55"/>
      <w:spacing w:before="0"/>
      <w:ind w:right="-35"/>
    </w:pPr>
    <w:rPr>
      <w:rFonts w:ascii="Calibri" w:eastAsia="Arial Unicode MS" w:hAnsi="Calibri" w:cs="Arial Unicode MS"/>
      <w:b/>
      <w:bCs/>
      <w:color w:val="FFFFFF"/>
      <w:sz w:val="68"/>
      <w:szCs w:val="68"/>
      <w:bdr w:val="nil"/>
      <w:lang w:val="en-US" w:eastAsia="en-AU"/>
      <w14:textOutline w14:w="0" w14:cap="flat" w14:cmpd="sng" w14:algn="ctr">
        <w14:noFill/>
        <w14:prstDash w14:val="solid"/>
        <w14:bevel/>
      </w14:textOutline>
    </w:rPr>
  </w:style>
  <w:style w:type="paragraph" w:customStyle="1" w:styleId="4Titledescription">
    <w:name w:val="4. Title description"/>
    <w:next w:val="BodyText"/>
    <w:qFormat/>
    <w:rsid w:val="00FE57A7"/>
    <w:pPr>
      <w:pBdr>
        <w:top w:val="single" w:sz="8" w:space="5" w:color="auto"/>
        <w:left w:val="single" w:sz="8" w:space="10" w:color="auto"/>
        <w:bottom w:val="single" w:sz="8" w:space="10" w:color="auto"/>
        <w:right w:val="single" w:sz="8" w:space="10" w:color="auto"/>
      </w:pBdr>
      <w:shd w:val="clear" w:color="auto" w:fill="431C55"/>
      <w:spacing w:before="240" w:after="0"/>
      <w:ind w:right="-35"/>
    </w:pPr>
    <w:rPr>
      <w:rFonts w:ascii="Calibri" w:eastAsia="Arial Unicode MS" w:hAnsi="Calibri" w:cs="Arial Unicode MS"/>
      <w:color w:val="FFFFFF"/>
      <w:sz w:val="24"/>
      <w:szCs w:val="24"/>
      <w:bdr w:val="nil"/>
      <w:lang w:val="en-US" w:eastAsia="en-AU"/>
      <w14:textOutline w14:w="0" w14:cap="flat" w14:cmpd="sng" w14:algn="ctr">
        <w14:noFill/>
        <w14:prstDash w14:val="solid"/>
        <w14:bevel/>
      </w14:textOutline>
    </w:rPr>
  </w:style>
  <w:style w:type="paragraph" w:customStyle="1" w:styleId="5AboutHeadingh4">
    <w:name w:val="5. About Heading h4"/>
    <w:basedOn w:val="Normal"/>
    <w:next w:val="Heading4"/>
    <w:qFormat/>
    <w:rsid w:val="00FE57A7"/>
    <w:pPr>
      <w:keepNext/>
      <w:pBdr>
        <w:top w:val="single" w:sz="8" w:space="10" w:color="FBF7FD"/>
        <w:left w:val="single" w:sz="8" w:space="10" w:color="FBF7FD"/>
        <w:bottom w:val="single" w:sz="8" w:space="10" w:color="FBF7FD"/>
        <w:right w:val="single" w:sz="8" w:space="10" w:color="FBF7FD"/>
      </w:pBdr>
      <w:shd w:val="clear" w:color="auto" w:fill="F7F0FA"/>
      <w:spacing w:line="240" w:lineRule="auto"/>
      <w:ind w:right="-35"/>
      <w:outlineLvl w:val="1"/>
    </w:pPr>
    <w:rPr>
      <w:rFonts w:ascii="Calibri" w:eastAsia="Arial Unicode MS" w:hAnsi="Calibri" w:cs="Arial Unicode MS"/>
      <w:b/>
      <w:bCs/>
      <w:color w:val="612C69"/>
      <w:sz w:val="40"/>
      <w:szCs w:val="40"/>
      <w:bdr w:val="nil"/>
      <w:lang w:val="en-US" w:eastAsia="en-AU"/>
      <w14:textOutline w14:w="0" w14:cap="flat" w14:cmpd="sng" w14:algn="ctr">
        <w14:noFill/>
        <w14:prstDash w14:val="solid"/>
        <w14:bevel/>
      </w14:textOutline>
    </w:rPr>
  </w:style>
  <w:style w:type="paragraph" w:customStyle="1" w:styleId="6Aboutbullet">
    <w:name w:val="6. About bullet"/>
    <w:basedOn w:val="Normal"/>
    <w:link w:val="6AboutbulletChar"/>
    <w:qFormat/>
    <w:rsid w:val="00FE57A7"/>
    <w:pPr>
      <w:numPr>
        <w:numId w:val="28"/>
      </w:numPr>
      <w:pBdr>
        <w:top w:val="single" w:sz="8" w:space="10" w:color="FBF7FD"/>
        <w:left w:val="single" w:sz="8" w:space="10" w:color="FBF7FD"/>
        <w:bottom w:val="single" w:sz="8" w:space="10" w:color="FBF7FD"/>
        <w:right w:val="single" w:sz="8" w:space="10" w:color="FBF7FD"/>
      </w:pBdr>
      <w:shd w:val="clear" w:color="auto" w:fill="F7F0FA"/>
      <w:spacing w:before="120" w:after="240" w:line="240" w:lineRule="auto"/>
      <w:ind w:left="284" w:right="-35" w:hanging="284"/>
    </w:pPr>
    <w:rPr>
      <w:rFonts w:ascii="Calibri" w:eastAsia="Arial Unicode MS" w:hAnsi="Calibri" w:cs="Arial Unicode MS"/>
      <w:color w:val="000000"/>
      <w:sz w:val="24"/>
      <w:szCs w:val="24"/>
      <w:bdr w:val="nil"/>
      <w:lang w:val="en-US" w:eastAsia="en-AU"/>
      <w14:textOutline w14:w="0" w14:cap="flat" w14:cmpd="sng" w14:algn="ctr">
        <w14:noFill/>
        <w14:prstDash w14:val="solid"/>
        <w14:bevel/>
      </w14:textOutline>
    </w:rPr>
  </w:style>
  <w:style w:type="character" w:customStyle="1" w:styleId="6AboutbulletChar">
    <w:name w:val="6. About bullet Char"/>
    <w:basedOn w:val="DefaultParagraphFont"/>
    <w:link w:val="6Aboutbullet"/>
    <w:rsid w:val="00FE57A7"/>
    <w:rPr>
      <w:rFonts w:ascii="Calibri" w:eastAsia="Arial Unicode MS" w:hAnsi="Calibri" w:cs="Arial Unicode MS"/>
      <w:color w:val="000000"/>
      <w:sz w:val="24"/>
      <w:szCs w:val="24"/>
      <w:bdr w:val="nil"/>
      <w:shd w:val="clear" w:color="auto" w:fill="F7F0FA"/>
      <w:lang w:val="en-US" w:eastAsia="en-AU"/>
      <w14:textOutline w14:w="0" w14:cap="flat" w14:cmpd="sng" w14:algn="ctr">
        <w14:noFill/>
        <w14:prstDash w14:val="solid"/>
        <w14:bevel/>
      </w14:textOutline>
    </w:rPr>
  </w:style>
  <w:style w:type="paragraph" w:styleId="BodyText">
    <w:name w:val="Body Text"/>
    <w:basedOn w:val="Normal"/>
    <w:link w:val="BodyTextChar"/>
    <w:uiPriority w:val="99"/>
    <w:semiHidden/>
    <w:unhideWhenUsed/>
    <w:rsid w:val="00FE57A7"/>
    <w:pPr>
      <w:spacing w:after="120"/>
    </w:pPr>
  </w:style>
  <w:style w:type="character" w:customStyle="1" w:styleId="BodyTextChar">
    <w:name w:val="Body Text Char"/>
    <w:basedOn w:val="DefaultParagraphFont"/>
    <w:link w:val="BodyText"/>
    <w:uiPriority w:val="99"/>
    <w:semiHidden/>
    <w:rsid w:val="00FE57A7"/>
    <w:rPr>
      <w:rFonts w:ascii="Arial" w:hAnsi="Arial"/>
      <w:color w:val="auto"/>
      <w:sz w:val="22"/>
      <w:szCs w:val="22"/>
    </w:rPr>
  </w:style>
  <w:style w:type="paragraph" w:customStyle="1" w:styleId="Body">
    <w:name w:val="Body"/>
    <w:basedOn w:val="Normal"/>
    <w:next w:val="Normal"/>
    <w:qFormat/>
    <w:rsid w:val="0067621B"/>
    <w:pPr>
      <w:pBdr>
        <w:top w:val="nil"/>
        <w:left w:val="nil"/>
        <w:bottom w:val="nil"/>
        <w:right w:val="nil"/>
        <w:between w:val="nil"/>
        <w:bar w:val="nil"/>
      </w:pBdr>
      <w:spacing w:before="120" w:after="240" w:line="240" w:lineRule="auto"/>
      <w:ind w:right="-35"/>
    </w:pPr>
    <w:rPr>
      <w:rFonts w:ascii="Calibri" w:eastAsia="Arial Unicode MS" w:hAnsi="Calibri" w:cs="Arial Unicode MS"/>
      <w:color w:val="000000"/>
      <w:sz w:val="24"/>
      <w:szCs w:val="24"/>
      <w:bdr w:val="nil"/>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9.health.gov.au/mbs/fullDisplay.cfm?type=item&amp;q=900&amp;qt=ItemID%23assocNotes" TargetMode="External"/><Relationship Id="rId18" Type="http://schemas.openxmlformats.org/officeDocument/2006/relationships/hyperlink" Target="https://doi.org/10.1352/1944-7558-123.1.7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2.health.vic.gov.au/public-health/population-health-systems/health-status-of-victorians/survey-data-and-reports/health-survey-of-people-with-an-intellectual-disability/health-survey-of-people-with-an-intellectual-disability-2013" TargetMode="External"/><Relationship Id="rId7" Type="http://schemas.openxmlformats.org/officeDocument/2006/relationships/endnotes" Target="endnotes.xml"/><Relationship Id="rId12" Type="http://schemas.openxmlformats.org/officeDocument/2006/relationships/hyperlink" Target="https://www.safetyandquality.gov.au/sites/default/files/2019-06/medication-without-harm-who-global-patient-safety-challenge-discussion-paper-for-public-consultation-pdf-1.75mb.pdf" TargetMode="External"/><Relationship Id="rId17" Type="http://schemas.openxmlformats.org/officeDocument/2006/relationships/hyperlink" Target="https://www.aci.health.nsw.gov.au/__data/assets/pdf_file/0016/231514/Health_Care_in_People_with_Intellectual_Disability_Guidelines.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007/s40266-018-0554-2" TargetMode="External"/><Relationship Id="rId20" Type="http://schemas.openxmlformats.org/officeDocument/2006/relationships/hyperlink" Target="https://www.nps.org.au/australian-prescriber/articles/prescribing-psychotropic-drugs-to-adults-with-an-intellectual-disabilit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discommission.gov.au/document/986" TargetMode="External"/><Relationship Id="rId24" Type="http://schemas.openxmlformats.org/officeDocument/2006/relationships/hyperlink" Target="https://www.ndiscommission.gov.au/" TargetMode="External"/><Relationship Id="rId5" Type="http://schemas.openxmlformats.org/officeDocument/2006/relationships/webSettings" Target="webSettings.xml"/><Relationship Id="rId15" Type="http://schemas.openxmlformats.org/officeDocument/2006/relationships/hyperlink" Target="https://www.agedcarequality.gov.au/sites/default/files/media/acqsc_psychotropic_medications_v10_hr.pdf" TargetMode="External"/><Relationship Id="rId23" Type="http://schemas.openxmlformats.org/officeDocument/2006/relationships/hyperlink" Target="mailto:contactcentre@ndiscommission.gov.au" TargetMode="External"/><Relationship Id="rId28" Type="http://schemas.openxmlformats.org/officeDocument/2006/relationships/footer" Target="footer2.xml"/><Relationship Id="rId10" Type="http://schemas.openxmlformats.org/officeDocument/2006/relationships/hyperlink" Target="https://www.myhealthrecord.gov.au/" TargetMode="External"/><Relationship Id="rId19" Type="http://schemas.openxmlformats.org/officeDocument/2006/relationships/hyperlink" Target="https://www.cddh.monashhealth.org/wp-content/uploads/2016/11/2015-medication-review-guide-for-gps.pdf" TargetMode="External"/><Relationship Id="rId4" Type="http://schemas.openxmlformats.org/officeDocument/2006/relationships/settings" Target="settings.xml"/><Relationship Id="rId9" Type="http://schemas.openxmlformats.org/officeDocument/2006/relationships/hyperlink" Target="https://www.nps.org.au/medicinewiseapp" TargetMode="External"/><Relationship Id="rId14" Type="http://schemas.openxmlformats.org/officeDocument/2006/relationships/hyperlink" Target="https://www.ppaonline.com.au/programs/medication-management-programs/home-medicines-review" TargetMode="External"/><Relationship Id="rId22" Type="http://schemas.openxmlformats.org/officeDocument/2006/relationships/hyperlink" Target="https://apps.who.int/iris/bitstream/handle/10665/325454/WHO-UHC-SDS-2019.11-eng.pdf?ua=1"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prinfnas002n\Apps\msoffice\2016Templates\NQSC\Documen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41653-4182-422A-B254-32E27751B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29</TotalTime>
  <Pages>7</Pages>
  <Words>2548</Words>
  <Characters>14528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Practice Alert: Polypharmacy</vt:lpstr>
    </vt:vector>
  </TitlesOfParts>
  <Company/>
  <LinksUpToDate>false</LinksUpToDate>
  <CharactersWithSpaces>17042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Alert: Polypharmacy</dc:title>
  <dc:subject/>
  <dc:creator>NDIS Quality and Safeguards Commission</dc:creator>
  <cp:keywords/>
  <dc:description/>
  <cp:lastModifiedBy>LUNNEY, Heather</cp:lastModifiedBy>
  <cp:revision>7</cp:revision>
  <dcterms:created xsi:type="dcterms:W3CDTF">2020-11-23T23:31:00Z</dcterms:created>
  <dcterms:modified xsi:type="dcterms:W3CDTF">2020-11-24T02:25:00Z</dcterms:modified>
</cp:coreProperties>
</file>