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3763C" w14:textId="77777777" w:rsidR="00226514" w:rsidRPr="00025F76" w:rsidRDefault="00226514" w:rsidP="00226514">
      <w:pPr>
        <w:pStyle w:val="4Titledescription"/>
        <w:rPr>
          <w:lang w:val="en-AU"/>
        </w:rPr>
      </w:pPr>
      <w:r w:rsidRPr="00025F76">
        <w:rPr>
          <w:noProof/>
          <w:lang w:val="en-AU" w:eastAsia="zh-CN" w:bidi="hi-IN"/>
        </w:rPr>
        <w:drawing>
          <wp:inline distT="0" distB="0" distL="0" distR="0" wp14:anchorId="40A70CE0" wp14:editId="63A5BA4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3A3BA77A" w14:textId="77777777" w:rsidR="00226514" w:rsidRPr="00025F76" w:rsidRDefault="00226514" w:rsidP="00226514">
      <w:pPr>
        <w:pStyle w:val="1Documentnameh1"/>
      </w:pPr>
      <w:r w:rsidRPr="00025F76">
        <w:t>Practice Alert</w:t>
      </w:r>
    </w:p>
    <w:p w14:paraId="1D94B855" w14:textId="13E2984E" w:rsidR="00226514" w:rsidRPr="00025F76" w:rsidRDefault="00226514" w:rsidP="00226514">
      <w:pPr>
        <w:pStyle w:val="3Titleh3"/>
        <w:rPr>
          <w:lang w:val="en-AU"/>
        </w:rPr>
      </w:pPr>
      <w:r w:rsidRPr="00025F76">
        <w:rPr>
          <w:lang w:val="en-AU"/>
        </w:rPr>
        <w:t xml:space="preserve">Transitions of care between disability services and hospitals </w:t>
      </w:r>
    </w:p>
    <w:p w14:paraId="6D705384" w14:textId="77F34852" w:rsidR="00226514" w:rsidRPr="00025F76" w:rsidRDefault="00FB2D49" w:rsidP="00226514">
      <w:pPr>
        <w:pStyle w:val="4Titledescription"/>
        <w:rPr>
          <w:lang w:val="en-AU"/>
        </w:rPr>
      </w:pPr>
      <w:r>
        <w:rPr>
          <w:lang w:val="en-AU"/>
        </w:rPr>
        <w:t>November</w:t>
      </w:r>
      <w:bookmarkStart w:id="0" w:name="_GoBack"/>
      <w:bookmarkEnd w:id="0"/>
      <w:r w:rsidR="00226514" w:rsidRPr="00025F76">
        <w:rPr>
          <w:lang w:val="en-AU"/>
        </w:rPr>
        <w:t xml:space="preserve"> 2020</w:t>
      </w:r>
    </w:p>
    <w:p w14:paraId="0940E977" w14:textId="77777777" w:rsidR="00226514" w:rsidRPr="00025F76" w:rsidRDefault="00226514" w:rsidP="00226514">
      <w:pPr>
        <w:pStyle w:val="5AboutHeadingh4"/>
        <w:spacing w:before="240" w:after="240"/>
        <w:ind w:right="-34"/>
        <w:rPr>
          <w:lang w:val="en-AU"/>
        </w:rPr>
      </w:pPr>
      <w:r w:rsidRPr="00025F76">
        <w:rPr>
          <w:lang w:val="en-AU"/>
        </w:rPr>
        <w:t>Key points</w:t>
      </w:r>
    </w:p>
    <w:p w14:paraId="77336233" w14:textId="5F9EA4EA" w:rsidR="00226514" w:rsidRPr="00025F76" w:rsidRDefault="00226514" w:rsidP="00226514">
      <w:pPr>
        <w:pStyle w:val="6Aboutbullet"/>
        <w:spacing w:before="240"/>
        <w:ind w:right="-34"/>
        <w:rPr>
          <w:lang w:val="en-AU"/>
        </w:rPr>
      </w:pPr>
      <w:r w:rsidRPr="00025F76">
        <w:rPr>
          <w:lang w:val="en-AU"/>
        </w:rPr>
        <w:t xml:space="preserve">Transitions of care refers to the movement of people between places or services </w:t>
      </w:r>
      <w:proofErr w:type="gramStart"/>
      <w:r w:rsidRPr="00025F76">
        <w:rPr>
          <w:lang w:val="en-AU"/>
        </w:rPr>
        <w:t>providing</w:t>
      </w:r>
      <w:proofErr w:type="gramEnd"/>
      <w:r w:rsidRPr="00025F76">
        <w:rPr>
          <w:lang w:val="en-AU"/>
        </w:rPr>
        <w:t xml:space="preserve"> care such as people moving between disability support services and hospitals.</w:t>
      </w:r>
    </w:p>
    <w:p w14:paraId="094B47A6" w14:textId="77777777" w:rsidR="00226514" w:rsidRPr="00025F76" w:rsidRDefault="00226514" w:rsidP="00226514">
      <w:pPr>
        <w:pStyle w:val="6Aboutbullet"/>
        <w:spacing w:before="240"/>
        <w:ind w:right="-34"/>
        <w:rPr>
          <w:lang w:val="en-AU"/>
        </w:rPr>
      </w:pPr>
      <w:r w:rsidRPr="00025F76">
        <w:rPr>
          <w:lang w:val="en-AU"/>
        </w:rPr>
        <w:t>Transitions of care are key points where there is risk of harm to participants. In Australia, problems in transition of care have been associated with risks of harm to people who have a disability.</w:t>
      </w:r>
    </w:p>
    <w:p w14:paraId="33801A52" w14:textId="73744828" w:rsidR="00226514" w:rsidRPr="00025F76" w:rsidRDefault="00226514" w:rsidP="00922DF2">
      <w:pPr>
        <w:pStyle w:val="6Aboutbullet"/>
        <w:spacing w:before="240"/>
        <w:ind w:right="-34"/>
        <w:rPr>
          <w:lang w:val="en-AU"/>
        </w:rPr>
      </w:pPr>
      <w:r w:rsidRPr="00025F76">
        <w:rPr>
          <w:lang w:val="en-AU"/>
        </w:rPr>
        <w:t>Safe transition of care requires clear communication about, and coordination of, participant care between providers, health care staff, participants and their support network.</w:t>
      </w:r>
    </w:p>
    <w:p w14:paraId="4CBB4FE3" w14:textId="77777777" w:rsidR="0099570B" w:rsidRPr="00025F76" w:rsidRDefault="0099570B" w:rsidP="00164AB3">
      <w:pPr>
        <w:pStyle w:val="Heading1"/>
      </w:pPr>
      <w:r w:rsidRPr="00025F76">
        <w:t>Background</w:t>
      </w:r>
    </w:p>
    <w:p w14:paraId="48F49174" w14:textId="77777777" w:rsidR="0099570B" w:rsidRPr="00025F76" w:rsidRDefault="0099570B" w:rsidP="00164AB3">
      <w:pPr>
        <w:spacing w:before="120" w:after="120" w:line="276" w:lineRule="auto"/>
      </w:pPr>
      <w:r w:rsidRPr="00025F76">
        <w:t>People with disability have the right to the highest possible standard of health. This includes equitable access to health services that address their individual health needs, as well as access to appropriate supports before, during and after hospital admissions.</w:t>
      </w:r>
    </w:p>
    <w:p w14:paraId="697CEEBF" w14:textId="77777777" w:rsidR="0099570B" w:rsidRPr="00025F76" w:rsidRDefault="0099570B" w:rsidP="00164AB3">
      <w:pPr>
        <w:spacing w:before="120" w:after="120" w:line="276" w:lineRule="auto"/>
      </w:pPr>
      <w:r w:rsidRPr="00025F76">
        <w:t xml:space="preserve">Services involved in supporting the health of Australian people with disability </w:t>
      </w:r>
      <w:proofErr w:type="gramStart"/>
      <w:r w:rsidRPr="00025F76">
        <w:t>are guided</w:t>
      </w:r>
      <w:proofErr w:type="gramEnd"/>
      <w:r w:rsidRPr="00025F76">
        <w:t xml:space="preserve"> by practice standards of safe, high quality health care and disability support.</w:t>
      </w:r>
    </w:p>
    <w:p w14:paraId="245207C6" w14:textId="7969963F" w:rsidR="0099570B" w:rsidRPr="00025F76" w:rsidRDefault="0099570B" w:rsidP="0099570B">
      <w:pPr>
        <w:spacing w:before="120" w:after="120" w:line="276" w:lineRule="auto"/>
      </w:pPr>
      <w:r w:rsidRPr="00025F76">
        <w:rPr>
          <w:bCs/>
        </w:rPr>
        <w:t>Australian people with disability commonly access hospital services</w:t>
      </w:r>
      <w:r w:rsidR="00164AB3" w:rsidRPr="00025F76">
        <w:rPr>
          <w:bCs/>
        </w:rPr>
        <w:t>,</w:t>
      </w:r>
      <w:r w:rsidRPr="00025F76">
        <w:rPr>
          <w:bCs/>
        </w:rPr>
        <w:t xml:space="preserve"> </w:t>
      </w:r>
      <w:r w:rsidRPr="00025F76">
        <w:t xml:space="preserve">with 22% </w:t>
      </w:r>
      <w:proofErr w:type="gramStart"/>
      <w:r w:rsidRPr="00025F76">
        <w:t>being admitted</w:t>
      </w:r>
      <w:proofErr w:type="gramEnd"/>
      <w:r w:rsidRPr="00025F76">
        <w:t xml:space="preserve"> to hospital and 26% having visited a hospital emergency department in 2015. </w:t>
      </w:r>
    </w:p>
    <w:p w14:paraId="26235089" w14:textId="77777777" w:rsidR="00164AB3" w:rsidRPr="00025F76" w:rsidRDefault="0099570B" w:rsidP="0099570B">
      <w:pPr>
        <w:spacing w:before="120" w:after="120" w:line="276" w:lineRule="auto"/>
      </w:pPr>
      <w:r w:rsidRPr="00025F76">
        <w:rPr>
          <w:bCs/>
        </w:rPr>
        <w:t xml:space="preserve">Australian reports on the deaths of people with disability outline serious and life-threatening risks if transitions of care are mismanaged. </w:t>
      </w:r>
      <w:r w:rsidRPr="00025F76">
        <w:t xml:space="preserve">Areas of concern include the management of </w:t>
      </w:r>
      <w:proofErr w:type="gramStart"/>
      <w:r w:rsidRPr="00025F76">
        <w:t>medications,</w:t>
      </w:r>
      <w:proofErr w:type="gramEnd"/>
      <w:r w:rsidRPr="00025F76">
        <w:t xml:space="preserve"> and lack of necessary follow up care after hospital discharge</w:t>
      </w:r>
      <w:r w:rsidR="00164AB3" w:rsidRPr="00025F76">
        <w:t>.</w:t>
      </w:r>
    </w:p>
    <w:p w14:paraId="7A00ECF3" w14:textId="29FE07BE" w:rsidR="0099570B" w:rsidRPr="00025F76" w:rsidRDefault="0099570B" w:rsidP="0099570B">
      <w:pPr>
        <w:spacing w:before="120" w:after="120" w:line="276" w:lineRule="auto"/>
        <w:rPr>
          <w:color w:val="auto"/>
        </w:rPr>
      </w:pPr>
      <w:r w:rsidRPr="00025F76">
        <w:rPr>
          <w:bCs/>
          <w:color w:val="auto"/>
        </w:rPr>
        <w:lastRenderedPageBreak/>
        <w:t>Transitions of care are priority area</w:t>
      </w:r>
      <w:r w:rsidR="00164AB3" w:rsidRPr="00025F76">
        <w:rPr>
          <w:bCs/>
          <w:color w:val="auto"/>
        </w:rPr>
        <w:t>s</w:t>
      </w:r>
      <w:r w:rsidRPr="00025F76">
        <w:rPr>
          <w:bCs/>
          <w:color w:val="auto"/>
        </w:rPr>
        <w:t xml:space="preserve"> for improving medication safety and reducing avoidable harms</w:t>
      </w:r>
      <w:r w:rsidR="00164AB3" w:rsidRPr="00025F76">
        <w:rPr>
          <w:color w:val="auto"/>
        </w:rPr>
        <w:t>.</w:t>
      </w:r>
      <w:r w:rsidRPr="00025F76">
        <w:rPr>
          <w:color w:val="auto"/>
        </w:rPr>
        <w:t xml:space="preserve"> During transitions to and from different healthcare settings, a lack of clear communication about a person’s healthcare needs and current treatments can increase the risk of harms.</w:t>
      </w:r>
    </w:p>
    <w:p w14:paraId="108F250F" w14:textId="69E7E17E" w:rsidR="0099570B" w:rsidRPr="00025F76" w:rsidRDefault="0099570B" w:rsidP="0099570B">
      <w:pPr>
        <w:spacing w:before="120" w:after="120" w:line="276" w:lineRule="auto"/>
      </w:pPr>
      <w:r w:rsidRPr="00025F76">
        <w:rPr>
          <w:bCs/>
          <w:color w:val="auto"/>
        </w:rPr>
        <w:t xml:space="preserve">Safe transitions of care require clear communication and co-ordination between the person with disability, their </w:t>
      </w:r>
      <w:proofErr w:type="spellStart"/>
      <w:r w:rsidRPr="00025F76">
        <w:rPr>
          <w:bCs/>
          <w:color w:val="auto"/>
        </w:rPr>
        <w:t>carers</w:t>
      </w:r>
      <w:proofErr w:type="spellEnd"/>
      <w:r w:rsidRPr="00025F76">
        <w:rPr>
          <w:bCs/>
          <w:color w:val="auto"/>
        </w:rPr>
        <w:t>, health care and disability support services.</w:t>
      </w:r>
      <w:r w:rsidRPr="00025F76">
        <w:rPr>
          <w:b/>
          <w:color w:val="auto"/>
        </w:rPr>
        <w:t xml:space="preserve"> </w:t>
      </w:r>
      <w:r w:rsidRPr="00025F76">
        <w:t>Communication and co-ordination between services and the person’s support network helps ensure that critical information about the person’s health needs, potential risks and current health care are not lost during transitions of care.</w:t>
      </w:r>
    </w:p>
    <w:p w14:paraId="65DE02D5" w14:textId="77777777" w:rsidR="00164AB3" w:rsidRPr="00025F76" w:rsidRDefault="00164AB3" w:rsidP="00164AB3">
      <w:pPr>
        <w:spacing w:before="120" w:after="0" w:line="276" w:lineRule="auto"/>
        <w:contextualSpacing/>
        <w:rPr>
          <w:color w:val="auto"/>
        </w:rPr>
      </w:pPr>
      <w:r w:rsidRPr="00025F76">
        <w:rPr>
          <w:color w:val="auto"/>
        </w:rPr>
        <w:t>Transitions of care covered in this alert include:</w:t>
      </w:r>
    </w:p>
    <w:p w14:paraId="111F8A29" w14:textId="77777777" w:rsidR="00164AB3" w:rsidRPr="00025F76" w:rsidRDefault="00164AB3" w:rsidP="00164AB3">
      <w:pPr>
        <w:pStyle w:val="Bullet1"/>
        <w:numPr>
          <w:ilvl w:val="0"/>
          <w:numId w:val="17"/>
        </w:numPr>
        <w:spacing w:before="0" w:after="120" w:line="276" w:lineRule="auto"/>
        <w:ind w:hanging="357"/>
        <w:contextualSpacing/>
        <w:rPr>
          <w:color w:val="auto"/>
        </w:rPr>
      </w:pPr>
      <w:r w:rsidRPr="00025F76">
        <w:rPr>
          <w:color w:val="auto"/>
        </w:rPr>
        <w:t>going to hospital from home or supported accommodation</w:t>
      </w:r>
    </w:p>
    <w:p w14:paraId="7FC29DA0" w14:textId="2B5BFFE1" w:rsidR="00164AB3" w:rsidRPr="00025F76" w:rsidRDefault="00164AB3" w:rsidP="00164AB3">
      <w:pPr>
        <w:pStyle w:val="Bullet1"/>
        <w:numPr>
          <w:ilvl w:val="0"/>
          <w:numId w:val="17"/>
        </w:numPr>
        <w:spacing w:before="0" w:after="0" w:line="240" w:lineRule="auto"/>
        <w:rPr>
          <w:color w:val="auto"/>
        </w:rPr>
      </w:pPr>
      <w:r w:rsidRPr="00025F76">
        <w:rPr>
          <w:color w:val="auto"/>
        </w:rPr>
        <w:t>leaving hospital to return home or to supported accommodation</w:t>
      </w:r>
    </w:p>
    <w:p w14:paraId="7F099A2E" w14:textId="7850EF3D" w:rsidR="005F3A98" w:rsidRPr="00025F76" w:rsidRDefault="00AC6704" w:rsidP="00164AB3">
      <w:pPr>
        <w:pStyle w:val="Heading1"/>
      </w:pPr>
      <w:r w:rsidRPr="00025F76">
        <w:t xml:space="preserve">How to </w:t>
      </w:r>
      <w:r w:rsidR="00FF5D9C" w:rsidRPr="00025F76">
        <w:t>support</w:t>
      </w:r>
      <w:r w:rsidR="00624438" w:rsidRPr="00025F76">
        <w:t xml:space="preserve"> NDIS </w:t>
      </w:r>
      <w:r w:rsidRPr="00025F76">
        <w:t xml:space="preserve">participants </w:t>
      </w:r>
      <w:r w:rsidR="00B01634" w:rsidRPr="00025F76">
        <w:t xml:space="preserve">during </w:t>
      </w:r>
      <w:r w:rsidRPr="00025F76">
        <w:t>t</w:t>
      </w:r>
      <w:r w:rsidR="00B01634" w:rsidRPr="00025F76">
        <w:t xml:space="preserve">ransitions of </w:t>
      </w:r>
      <w:r w:rsidRPr="00025F76">
        <w:t>c</w:t>
      </w:r>
      <w:r w:rsidR="00B01634" w:rsidRPr="00025F76">
        <w:t>are</w:t>
      </w:r>
      <w:r w:rsidR="00D01DE4" w:rsidRPr="00025F76">
        <w:t xml:space="preserve"> to and from hospitals</w:t>
      </w:r>
    </w:p>
    <w:p w14:paraId="41ACF094" w14:textId="7704AE83" w:rsidR="002F6CFC" w:rsidRPr="00025F76" w:rsidRDefault="00AC6704" w:rsidP="0075595A">
      <w:pPr>
        <w:spacing w:before="120" w:after="120" w:line="276" w:lineRule="auto"/>
        <w:contextualSpacing/>
      </w:pPr>
      <w:r w:rsidRPr="00025F76">
        <w:t>P</w:t>
      </w:r>
      <w:r w:rsidR="007C3735" w:rsidRPr="00025F76">
        <w:t>repare for possible transitions of care by</w:t>
      </w:r>
      <w:r w:rsidR="002F6CFC" w:rsidRPr="00025F76">
        <w:t>:</w:t>
      </w:r>
    </w:p>
    <w:p w14:paraId="7016A7C1" w14:textId="1FA03A20" w:rsidR="002F6CFC" w:rsidRPr="00025F76" w:rsidRDefault="00AC6704" w:rsidP="0075595A">
      <w:pPr>
        <w:pStyle w:val="ListParagraph"/>
        <w:numPr>
          <w:ilvl w:val="0"/>
          <w:numId w:val="18"/>
        </w:numPr>
        <w:spacing w:before="120" w:after="120"/>
        <w:rPr>
          <w:rFonts w:asciiTheme="majorHAnsi" w:hAnsiTheme="majorHAnsi" w:cstheme="majorHAnsi"/>
        </w:rPr>
      </w:pPr>
      <w:r w:rsidRPr="00025F76">
        <w:rPr>
          <w:rFonts w:asciiTheme="majorHAnsi" w:hAnsiTheme="majorHAnsi" w:cstheme="majorHAnsi"/>
        </w:rPr>
        <w:t>k</w:t>
      </w:r>
      <w:r w:rsidR="005F3A98" w:rsidRPr="00025F76">
        <w:rPr>
          <w:rFonts w:asciiTheme="majorHAnsi" w:hAnsiTheme="majorHAnsi" w:cstheme="majorHAnsi"/>
        </w:rPr>
        <w:t>eep</w:t>
      </w:r>
      <w:r w:rsidR="002F6CFC" w:rsidRPr="00025F76">
        <w:rPr>
          <w:rFonts w:asciiTheme="majorHAnsi" w:hAnsiTheme="majorHAnsi" w:cstheme="majorHAnsi"/>
        </w:rPr>
        <w:t xml:space="preserve">ing </w:t>
      </w:r>
      <w:r w:rsidRPr="00025F76">
        <w:rPr>
          <w:rFonts w:asciiTheme="majorHAnsi" w:hAnsiTheme="majorHAnsi" w:cstheme="majorHAnsi"/>
        </w:rPr>
        <w:t xml:space="preserve">the </w:t>
      </w:r>
      <w:r w:rsidR="007C3735" w:rsidRPr="00025F76">
        <w:rPr>
          <w:rFonts w:asciiTheme="majorHAnsi" w:hAnsiTheme="majorHAnsi" w:cstheme="majorHAnsi"/>
        </w:rPr>
        <w:t>participant’</w:t>
      </w:r>
      <w:r w:rsidR="004E35ED" w:rsidRPr="00025F76">
        <w:rPr>
          <w:rFonts w:asciiTheme="majorHAnsi" w:hAnsiTheme="majorHAnsi" w:cstheme="majorHAnsi"/>
        </w:rPr>
        <w:t>s</w:t>
      </w:r>
      <w:r w:rsidR="005F3A98" w:rsidRPr="00025F76">
        <w:rPr>
          <w:rFonts w:asciiTheme="majorHAnsi" w:hAnsiTheme="majorHAnsi" w:cstheme="majorHAnsi"/>
        </w:rPr>
        <w:t xml:space="preserve"> health</w:t>
      </w:r>
      <w:r w:rsidR="00224AB3" w:rsidRPr="00025F76">
        <w:rPr>
          <w:rFonts w:asciiTheme="majorHAnsi" w:hAnsiTheme="majorHAnsi" w:cstheme="majorHAnsi"/>
        </w:rPr>
        <w:t xml:space="preserve"> </w:t>
      </w:r>
      <w:r w:rsidR="00DB5FD7" w:rsidRPr="00025F76">
        <w:rPr>
          <w:rFonts w:asciiTheme="majorHAnsi" w:hAnsiTheme="majorHAnsi" w:cstheme="majorHAnsi"/>
        </w:rPr>
        <w:t xml:space="preserve">and medication </w:t>
      </w:r>
      <w:r w:rsidR="00224AB3" w:rsidRPr="00025F76">
        <w:rPr>
          <w:rFonts w:asciiTheme="majorHAnsi" w:hAnsiTheme="majorHAnsi" w:cstheme="majorHAnsi"/>
        </w:rPr>
        <w:t>information</w:t>
      </w:r>
      <w:r w:rsidR="007C3735" w:rsidRPr="00025F76">
        <w:rPr>
          <w:rFonts w:asciiTheme="majorHAnsi" w:hAnsiTheme="majorHAnsi" w:cstheme="majorHAnsi"/>
        </w:rPr>
        <w:t xml:space="preserve"> </w:t>
      </w:r>
      <w:r w:rsidR="004E35ED" w:rsidRPr="00025F76">
        <w:rPr>
          <w:rFonts w:asciiTheme="majorHAnsi" w:hAnsiTheme="majorHAnsi" w:cstheme="majorHAnsi"/>
        </w:rPr>
        <w:t>accurate and up-to-date</w:t>
      </w:r>
    </w:p>
    <w:p w14:paraId="3C39C949" w14:textId="06987DE0" w:rsidR="002F6CFC" w:rsidRPr="00025F76" w:rsidRDefault="00AC6704" w:rsidP="0075595A">
      <w:pPr>
        <w:pStyle w:val="ListParagraph"/>
        <w:numPr>
          <w:ilvl w:val="0"/>
          <w:numId w:val="18"/>
        </w:numPr>
        <w:spacing w:before="120" w:after="120"/>
        <w:rPr>
          <w:rFonts w:asciiTheme="majorHAnsi" w:hAnsiTheme="majorHAnsi" w:cstheme="majorHAnsi"/>
        </w:rPr>
      </w:pPr>
      <w:r w:rsidRPr="00025F76">
        <w:rPr>
          <w:rFonts w:asciiTheme="majorHAnsi" w:hAnsiTheme="majorHAnsi" w:cstheme="majorHAnsi"/>
        </w:rPr>
        <w:t>c</w:t>
      </w:r>
      <w:r w:rsidR="00224AB3" w:rsidRPr="00025F76">
        <w:rPr>
          <w:rFonts w:asciiTheme="majorHAnsi" w:hAnsiTheme="majorHAnsi" w:cstheme="majorHAnsi"/>
        </w:rPr>
        <w:t xml:space="preserve">ommunicating </w:t>
      </w:r>
      <w:r w:rsidR="002F6CFC" w:rsidRPr="00025F76">
        <w:rPr>
          <w:rFonts w:asciiTheme="majorHAnsi" w:hAnsiTheme="majorHAnsi" w:cstheme="majorHAnsi"/>
        </w:rPr>
        <w:t>with</w:t>
      </w:r>
      <w:r w:rsidR="00224AB3" w:rsidRPr="00025F76">
        <w:rPr>
          <w:rFonts w:asciiTheme="majorHAnsi" w:hAnsiTheme="majorHAnsi" w:cstheme="majorHAnsi"/>
        </w:rPr>
        <w:t xml:space="preserve"> other servi</w:t>
      </w:r>
      <w:r w:rsidR="002F6CFC" w:rsidRPr="00025F76">
        <w:rPr>
          <w:rFonts w:asciiTheme="majorHAnsi" w:hAnsiTheme="majorHAnsi" w:cstheme="majorHAnsi"/>
        </w:rPr>
        <w:t>ces during transitions of care</w:t>
      </w:r>
    </w:p>
    <w:p w14:paraId="33DF3BB7" w14:textId="3DE025CC" w:rsidR="005F3A98" w:rsidRPr="00025F76" w:rsidRDefault="00AC6704" w:rsidP="00164AB3">
      <w:pPr>
        <w:pStyle w:val="ListParagraph"/>
        <w:numPr>
          <w:ilvl w:val="0"/>
          <w:numId w:val="18"/>
        </w:numPr>
        <w:spacing w:before="120" w:after="120"/>
        <w:rPr>
          <w:rFonts w:asciiTheme="majorHAnsi" w:hAnsiTheme="majorHAnsi" w:cstheme="majorHAnsi"/>
        </w:rPr>
      </w:pPr>
      <w:proofErr w:type="gramStart"/>
      <w:r w:rsidRPr="00025F76">
        <w:rPr>
          <w:rFonts w:asciiTheme="majorHAnsi" w:hAnsiTheme="majorHAnsi" w:cstheme="majorHAnsi"/>
        </w:rPr>
        <w:t>helping</w:t>
      </w:r>
      <w:proofErr w:type="gramEnd"/>
      <w:r w:rsidRPr="00025F76">
        <w:rPr>
          <w:rFonts w:asciiTheme="majorHAnsi" w:hAnsiTheme="majorHAnsi" w:cstheme="majorHAnsi"/>
        </w:rPr>
        <w:t xml:space="preserve"> </w:t>
      </w:r>
      <w:r w:rsidR="002F6CFC" w:rsidRPr="00025F76">
        <w:rPr>
          <w:rFonts w:asciiTheme="majorHAnsi" w:hAnsiTheme="majorHAnsi" w:cstheme="majorHAnsi"/>
        </w:rPr>
        <w:t>participants</w:t>
      </w:r>
      <w:r w:rsidR="00E6493E" w:rsidRPr="00025F76">
        <w:rPr>
          <w:rFonts w:asciiTheme="majorHAnsi" w:hAnsiTheme="majorHAnsi" w:cstheme="majorHAnsi"/>
        </w:rPr>
        <w:t xml:space="preserve"> understand and communicate</w:t>
      </w:r>
      <w:r w:rsidR="00DB5FD7" w:rsidRPr="00025F76">
        <w:rPr>
          <w:rFonts w:asciiTheme="majorHAnsi" w:hAnsiTheme="majorHAnsi" w:cstheme="majorHAnsi"/>
        </w:rPr>
        <w:t xml:space="preserve"> information about</w:t>
      </w:r>
      <w:r w:rsidR="00E6493E" w:rsidRPr="00025F76">
        <w:rPr>
          <w:rFonts w:asciiTheme="majorHAnsi" w:hAnsiTheme="majorHAnsi" w:cstheme="majorHAnsi"/>
        </w:rPr>
        <w:t xml:space="preserve"> their health.</w:t>
      </w:r>
    </w:p>
    <w:p w14:paraId="3E3F2930" w14:textId="3C12C783" w:rsidR="0015481B" w:rsidRPr="00025F76" w:rsidRDefault="00E54BD2" w:rsidP="00164AB3">
      <w:pPr>
        <w:pStyle w:val="Heading2"/>
      </w:pPr>
      <w:r w:rsidRPr="00025F76">
        <w:t xml:space="preserve">Prepare </w:t>
      </w:r>
      <w:r w:rsidR="00751D0C" w:rsidRPr="00025F76">
        <w:t>for a</w:t>
      </w:r>
      <w:r w:rsidR="0015481B" w:rsidRPr="00025F76">
        <w:t xml:space="preserve"> </w:t>
      </w:r>
      <w:r w:rsidR="00A65308" w:rsidRPr="00025F76">
        <w:t xml:space="preserve">planned </w:t>
      </w:r>
      <w:r w:rsidR="00AC6704" w:rsidRPr="00025F76">
        <w:t>h</w:t>
      </w:r>
      <w:r w:rsidR="0015481B" w:rsidRPr="00025F76">
        <w:t xml:space="preserve">ospital </w:t>
      </w:r>
      <w:r w:rsidR="00AC6704" w:rsidRPr="00025F76">
        <w:t>a</w:t>
      </w:r>
      <w:r w:rsidR="00B736A5" w:rsidRPr="00025F76">
        <w:t>dmission</w:t>
      </w:r>
    </w:p>
    <w:p w14:paraId="2E9BB3EE" w14:textId="62FD7F9B" w:rsidR="002E4FD3" w:rsidRPr="00025F76" w:rsidRDefault="00A65308" w:rsidP="0075595A">
      <w:pPr>
        <w:spacing w:before="120" w:after="120" w:line="276" w:lineRule="auto"/>
        <w:contextualSpacing/>
        <w:rPr>
          <w:bCs/>
        </w:rPr>
      </w:pPr>
      <w:r w:rsidRPr="00025F76">
        <w:t>C</w:t>
      </w:r>
      <w:r w:rsidR="002E4FD3" w:rsidRPr="00025F76">
        <w:rPr>
          <w:bCs/>
        </w:rPr>
        <w:t>onsider supporting participants to prepare for planned hospital admission</w:t>
      </w:r>
      <w:r w:rsidR="00231C2F" w:rsidRPr="00025F76">
        <w:rPr>
          <w:bCs/>
        </w:rPr>
        <w:t>s</w:t>
      </w:r>
      <w:r w:rsidR="002E4FD3" w:rsidRPr="00025F76">
        <w:rPr>
          <w:bCs/>
        </w:rPr>
        <w:t xml:space="preserve"> by arranging a pre</w:t>
      </w:r>
      <w:r w:rsidRPr="00025F76">
        <w:rPr>
          <w:bCs/>
        </w:rPr>
        <w:noBreakHyphen/>
      </w:r>
      <w:r w:rsidR="002E4FD3" w:rsidRPr="00025F76">
        <w:rPr>
          <w:bCs/>
        </w:rPr>
        <w:t>admission meeting</w:t>
      </w:r>
      <w:r w:rsidR="00231C2F" w:rsidRPr="00025F76">
        <w:rPr>
          <w:bCs/>
        </w:rPr>
        <w:t xml:space="preserve"> with hospital staff to</w:t>
      </w:r>
      <w:r w:rsidR="002E4FD3" w:rsidRPr="00025F76">
        <w:rPr>
          <w:bCs/>
        </w:rPr>
        <w:t>:</w:t>
      </w:r>
    </w:p>
    <w:p w14:paraId="26528F59" w14:textId="3AED03B3" w:rsidR="002E4FD3" w:rsidRPr="00025F76" w:rsidRDefault="002E4FD3" w:rsidP="0075595A">
      <w:pPr>
        <w:pStyle w:val="Bullet1"/>
        <w:numPr>
          <w:ilvl w:val="0"/>
          <w:numId w:val="19"/>
        </w:numPr>
        <w:spacing w:before="120" w:after="120" w:line="276" w:lineRule="auto"/>
        <w:contextualSpacing/>
      </w:pPr>
      <w:proofErr w:type="gramStart"/>
      <w:r w:rsidRPr="00025F76">
        <w:t>co-ordinate</w:t>
      </w:r>
      <w:proofErr w:type="gramEnd"/>
      <w:r w:rsidRPr="00025F76">
        <w:t xml:space="preserve"> </w:t>
      </w:r>
      <w:r w:rsidR="00231C2F" w:rsidRPr="00025F76">
        <w:t>the t</w:t>
      </w:r>
      <w:r w:rsidRPr="00025F76">
        <w:t xml:space="preserve">ransition of care with the </w:t>
      </w:r>
      <w:r w:rsidR="00231C2F" w:rsidRPr="00025F76">
        <w:t>participant</w:t>
      </w:r>
      <w:r w:rsidRPr="00025F76">
        <w:t xml:space="preserve">, relevant hospital staff, disability support staff and if possible, </w:t>
      </w:r>
      <w:r w:rsidR="00A65308" w:rsidRPr="00025F76">
        <w:t xml:space="preserve">the participant’s </w:t>
      </w:r>
      <w:r w:rsidR="00231C2F" w:rsidRPr="00025F76">
        <w:t>support people</w:t>
      </w:r>
      <w:r w:rsidRPr="00025F76">
        <w:t xml:space="preserve"> such as </w:t>
      </w:r>
      <w:r w:rsidR="00231C2F" w:rsidRPr="00025F76">
        <w:t>family or friends</w:t>
      </w:r>
      <w:r w:rsidR="00A65308" w:rsidRPr="00025F76">
        <w:t>.</w:t>
      </w:r>
    </w:p>
    <w:p w14:paraId="34023C1D" w14:textId="753D6F05" w:rsidR="002E4FD3" w:rsidRPr="00025F76" w:rsidRDefault="002E4FD3" w:rsidP="0075595A">
      <w:pPr>
        <w:pStyle w:val="Bullet1"/>
        <w:numPr>
          <w:ilvl w:val="0"/>
          <w:numId w:val="19"/>
        </w:numPr>
        <w:spacing w:before="120" w:after="120" w:line="276" w:lineRule="auto"/>
        <w:contextualSpacing/>
      </w:pPr>
      <w:proofErr w:type="gramStart"/>
      <w:r w:rsidRPr="00025F76">
        <w:t>inform</w:t>
      </w:r>
      <w:proofErr w:type="gramEnd"/>
      <w:r w:rsidRPr="00025F76">
        <w:t xml:space="preserve"> hospital staff about </w:t>
      </w:r>
      <w:r w:rsidR="00231C2F" w:rsidRPr="00025F76">
        <w:t>the participant’s</w:t>
      </w:r>
      <w:r w:rsidRPr="00025F76">
        <w:t xml:space="preserve"> </w:t>
      </w:r>
      <w:r w:rsidR="00231C2F" w:rsidRPr="00025F76">
        <w:t>communication requirements</w:t>
      </w:r>
      <w:r w:rsidRPr="00025F76">
        <w:t xml:space="preserve">, mobility and physical support needs, nutrition and mealtime management, </w:t>
      </w:r>
      <w:r w:rsidR="00231C2F" w:rsidRPr="00025F76">
        <w:t xml:space="preserve">and </w:t>
      </w:r>
      <w:r w:rsidRPr="00025F76">
        <w:t>behaviour support strategies.</w:t>
      </w:r>
    </w:p>
    <w:p w14:paraId="2815C307" w14:textId="55D389D3" w:rsidR="00DB5FD7" w:rsidRPr="00025F76" w:rsidRDefault="00DB5FD7" w:rsidP="00164AB3">
      <w:pPr>
        <w:pStyle w:val="Heading2"/>
      </w:pPr>
      <w:r w:rsidRPr="00025F76">
        <w:t>Information to provide to hospital staff</w:t>
      </w:r>
    </w:p>
    <w:p w14:paraId="65E79AEA" w14:textId="2652F938" w:rsidR="00DB5FD7" w:rsidRPr="00025F76" w:rsidRDefault="00DB5FD7" w:rsidP="00DB5FD7">
      <w:pPr>
        <w:spacing w:before="120" w:after="120" w:line="276" w:lineRule="auto"/>
        <w:rPr>
          <w:bCs/>
        </w:rPr>
      </w:pPr>
      <w:r w:rsidRPr="00025F76">
        <w:rPr>
          <w:bCs/>
        </w:rPr>
        <w:t xml:space="preserve">If you </w:t>
      </w:r>
      <w:r w:rsidR="0075595A" w:rsidRPr="00025F76">
        <w:rPr>
          <w:bCs/>
        </w:rPr>
        <w:t>are</w:t>
      </w:r>
      <w:r w:rsidRPr="00025F76">
        <w:rPr>
          <w:bCs/>
        </w:rPr>
        <w:t xml:space="preserve"> responsib</w:t>
      </w:r>
      <w:r w:rsidR="0075595A" w:rsidRPr="00025F76">
        <w:rPr>
          <w:bCs/>
        </w:rPr>
        <w:t>le</w:t>
      </w:r>
      <w:r w:rsidRPr="00025F76">
        <w:rPr>
          <w:bCs/>
        </w:rPr>
        <w:t xml:space="preserve"> for a participant’s medical records and care, or </w:t>
      </w:r>
      <w:r w:rsidR="0075595A" w:rsidRPr="00025F76">
        <w:rPr>
          <w:bCs/>
        </w:rPr>
        <w:t xml:space="preserve">have </w:t>
      </w:r>
      <w:r w:rsidRPr="00025F76">
        <w:rPr>
          <w:bCs/>
        </w:rPr>
        <w:t>consent from participants, guardians or carers to share information, make the following available to hospital staff on admission:</w:t>
      </w:r>
    </w:p>
    <w:p w14:paraId="012EE5C4" w14:textId="77777777" w:rsidR="00DB5FD7" w:rsidRPr="00025F76" w:rsidRDefault="00DB5FD7" w:rsidP="00164AB3">
      <w:pPr>
        <w:pStyle w:val="Bullet1"/>
        <w:numPr>
          <w:ilvl w:val="0"/>
          <w:numId w:val="20"/>
        </w:numPr>
        <w:spacing w:before="120" w:after="120" w:line="276" w:lineRule="auto"/>
        <w:contextualSpacing/>
      </w:pPr>
      <w:r w:rsidRPr="00025F76">
        <w:t>My Health Record (if used by the participant)</w:t>
      </w:r>
    </w:p>
    <w:p w14:paraId="7F31531C" w14:textId="77777777" w:rsidR="00DB5FD7" w:rsidRPr="00025F76" w:rsidRDefault="00DB5FD7" w:rsidP="00164AB3">
      <w:pPr>
        <w:pStyle w:val="Bullet1"/>
        <w:numPr>
          <w:ilvl w:val="0"/>
          <w:numId w:val="20"/>
        </w:numPr>
        <w:spacing w:before="120" w:after="120" w:line="276" w:lineRule="auto"/>
        <w:contextualSpacing/>
      </w:pPr>
      <w:r w:rsidRPr="00025F76">
        <w:t>Hospital Support Plan– based on the participant’s specific needs and requirements</w:t>
      </w:r>
    </w:p>
    <w:p w14:paraId="224E613F" w14:textId="77777777" w:rsidR="00DB5FD7" w:rsidRPr="00025F76" w:rsidRDefault="00DB5FD7" w:rsidP="00164AB3">
      <w:pPr>
        <w:pStyle w:val="Bullet1"/>
        <w:numPr>
          <w:ilvl w:val="0"/>
          <w:numId w:val="20"/>
        </w:numPr>
        <w:spacing w:before="120" w:after="120" w:line="276" w:lineRule="auto"/>
        <w:contextualSpacing/>
      </w:pPr>
      <w:r w:rsidRPr="00025F76">
        <w:t>List of current medications</w:t>
      </w:r>
    </w:p>
    <w:p w14:paraId="33F56782" w14:textId="77777777" w:rsidR="00DB5FD7" w:rsidRPr="00025F76" w:rsidRDefault="00DB5FD7" w:rsidP="00164AB3">
      <w:pPr>
        <w:pStyle w:val="Bullet1"/>
        <w:numPr>
          <w:ilvl w:val="0"/>
          <w:numId w:val="20"/>
        </w:numPr>
        <w:spacing w:before="120" w:after="120" w:line="276" w:lineRule="auto"/>
        <w:contextualSpacing/>
      </w:pPr>
      <w:r w:rsidRPr="00025F76">
        <w:t>Webster packs and other required medications</w:t>
      </w:r>
    </w:p>
    <w:p w14:paraId="6890B3DA" w14:textId="77777777" w:rsidR="00DB5FD7" w:rsidRPr="00025F76" w:rsidRDefault="00DB5FD7" w:rsidP="00164AB3">
      <w:pPr>
        <w:pStyle w:val="Bullet1"/>
        <w:numPr>
          <w:ilvl w:val="0"/>
          <w:numId w:val="20"/>
        </w:numPr>
        <w:spacing w:before="120" w:after="120" w:line="276" w:lineRule="auto"/>
        <w:contextualSpacing/>
      </w:pPr>
      <w:r w:rsidRPr="00025F76">
        <w:t>Health Care Card</w:t>
      </w:r>
    </w:p>
    <w:p w14:paraId="125092EE" w14:textId="77777777" w:rsidR="00DB5FD7" w:rsidRPr="00025F76" w:rsidRDefault="00DB5FD7" w:rsidP="00164AB3">
      <w:pPr>
        <w:pStyle w:val="Bullet1"/>
        <w:numPr>
          <w:ilvl w:val="0"/>
          <w:numId w:val="20"/>
        </w:numPr>
        <w:spacing w:before="120" w:after="120" w:line="276" w:lineRule="auto"/>
        <w:contextualSpacing/>
      </w:pPr>
      <w:r w:rsidRPr="00025F76">
        <w:t>Medicare Card</w:t>
      </w:r>
    </w:p>
    <w:p w14:paraId="38217B0B" w14:textId="77777777" w:rsidR="00DB5FD7" w:rsidRPr="00025F76" w:rsidRDefault="00DB5FD7" w:rsidP="00164AB3">
      <w:pPr>
        <w:pStyle w:val="Bullet1"/>
        <w:numPr>
          <w:ilvl w:val="0"/>
          <w:numId w:val="20"/>
        </w:numPr>
        <w:spacing w:before="120" w:after="120" w:line="276" w:lineRule="auto"/>
        <w:contextualSpacing/>
      </w:pPr>
      <w:r w:rsidRPr="00025F76">
        <w:t>Behaviour Support Plan</w:t>
      </w:r>
    </w:p>
    <w:p w14:paraId="777A32E1" w14:textId="77777777" w:rsidR="00DB5FD7" w:rsidRPr="00025F76" w:rsidRDefault="00DB5FD7" w:rsidP="00164AB3">
      <w:pPr>
        <w:pStyle w:val="Bullet1"/>
        <w:numPr>
          <w:ilvl w:val="0"/>
          <w:numId w:val="20"/>
        </w:numPr>
        <w:spacing w:before="120" w:after="120" w:line="276" w:lineRule="auto"/>
        <w:contextualSpacing/>
      </w:pPr>
      <w:r w:rsidRPr="00025F76">
        <w:t>Communication plan/profiles and any related communication aids/tools.</w:t>
      </w:r>
    </w:p>
    <w:p w14:paraId="29651B58" w14:textId="57EF7302" w:rsidR="00B533BE" w:rsidRPr="00025F76" w:rsidRDefault="00E54BD2" w:rsidP="00164AB3">
      <w:pPr>
        <w:pStyle w:val="Heading2"/>
      </w:pPr>
      <w:r w:rsidRPr="00025F76">
        <w:lastRenderedPageBreak/>
        <w:t>Provide s</w:t>
      </w:r>
      <w:r w:rsidR="00A65308" w:rsidRPr="00025F76">
        <w:t xml:space="preserve">upport during </w:t>
      </w:r>
      <w:r w:rsidR="00AC6704" w:rsidRPr="00025F76">
        <w:t>e</w:t>
      </w:r>
      <w:r w:rsidR="00652BDE" w:rsidRPr="00025F76">
        <w:t>mergency admission to hospital</w:t>
      </w:r>
    </w:p>
    <w:p w14:paraId="3A16C209" w14:textId="71EFD1A4" w:rsidR="00652BDE" w:rsidRPr="00025F76" w:rsidRDefault="00A65308" w:rsidP="00B16680">
      <w:pPr>
        <w:pStyle w:val="Bullet1"/>
        <w:numPr>
          <w:ilvl w:val="0"/>
          <w:numId w:val="0"/>
        </w:numPr>
        <w:spacing w:before="120" w:after="120" w:line="276" w:lineRule="auto"/>
      </w:pPr>
      <w:r w:rsidRPr="00025F76">
        <w:t>For an</w:t>
      </w:r>
      <w:r w:rsidR="00652BDE" w:rsidRPr="00025F76">
        <w:t xml:space="preserve"> emergency visit to hospital, </w:t>
      </w:r>
      <w:r w:rsidRPr="00025F76">
        <w:t>you</w:t>
      </w:r>
      <w:r w:rsidR="00652BDE" w:rsidRPr="00025F76">
        <w:t xml:space="preserve"> may need to arrange for a disability support worker familiar to the participant to stay with them during the admission.</w:t>
      </w:r>
    </w:p>
    <w:p w14:paraId="0210F323" w14:textId="54F72E82" w:rsidR="007242F2" w:rsidRPr="00025F76" w:rsidRDefault="00E54BD2" w:rsidP="00164AB3">
      <w:pPr>
        <w:pStyle w:val="Heading2"/>
      </w:pPr>
      <w:r w:rsidRPr="00025F76">
        <w:t>Support when the participant l</w:t>
      </w:r>
      <w:r w:rsidR="007242F2" w:rsidRPr="00025F76">
        <w:t>eav</w:t>
      </w:r>
      <w:r w:rsidRPr="00025F76">
        <w:t>es</w:t>
      </w:r>
      <w:r w:rsidR="007242F2" w:rsidRPr="00025F76">
        <w:t xml:space="preserve"> the </w:t>
      </w:r>
      <w:r w:rsidR="00AC6704" w:rsidRPr="00025F76">
        <w:t>h</w:t>
      </w:r>
      <w:r w:rsidR="007242F2" w:rsidRPr="00025F76">
        <w:t>ospital</w:t>
      </w:r>
    </w:p>
    <w:p w14:paraId="70943C0D" w14:textId="4183AE9A" w:rsidR="001171CB" w:rsidRPr="00025F76" w:rsidRDefault="001171CB" w:rsidP="00164AB3">
      <w:pPr>
        <w:pStyle w:val="Heading3"/>
      </w:pPr>
      <w:r w:rsidRPr="00025F76">
        <w:t>Plan for discharge from the hospital</w:t>
      </w:r>
    </w:p>
    <w:p w14:paraId="36E00734" w14:textId="381B1F1E" w:rsidR="002C6B33" w:rsidRPr="00025F76" w:rsidRDefault="00E54BD2" w:rsidP="00B16680">
      <w:pPr>
        <w:spacing w:before="120" w:after="120" w:line="276" w:lineRule="auto"/>
        <w:rPr>
          <w:bCs/>
        </w:rPr>
      </w:pPr>
      <w:r w:rsidRPr="00025F76">
        <w:rPr>
          <w:bCs/>
        </w:rPr>
        <w:t>P</w:t>
      </w:r>
      <w:r w:rsidR="00E6274D" w:rsidRPr="00025F76">
        <w:rPr>
          <w:bCs/>
        </w:rPr>
        <w:t>lan</w:t>
      </w:r>
      <w:r w:rsidR="00D917C0" w:rsidRPr="00025F76">
        <w:rPr>
          <w:bCs/>
        </w:rPr>
        <w:t xml:space="preserve"> for</w:t>
      </w:r>
      <w:r w:rsidR="00E6274D" w:rsidRPr="00025F76">
        <w:rPr>
          <w:bCs/>
        </w:rPr>
        <w:t xml:space="preserve"> </w:t>
      </w:r>
      <w:r w:rsidRPr="00025F76">
        <w:rPr>
          <w:bCs/>
        </w:rPr>
        <w:t xml:space="preserve">the </w:t>
      </w:r>
      <w:r w:rsidR="00E6274D" w:rsidRPr="00025F76">
        <w:rPr>
          <w:bCs/>
        </w:rPr>
        <w:t>participant’s</w:t>
      </w:r>
      <w:r w:rsidR="00D917C0" w:rsidRPr="00025F76">
        <w:rPr>
          <w:bCs/>
        </w:rPr>
        <w:t xml:space="preserve"> </w:t>
      </w:r>
      <w:r w:rsidRPr="00025F76">
        <w:rPr>
          <w:bCs/>
        </w:rPr>
        <w:t xml:space="preserve">hospital </w:t>
      </w:r>
      <w:r w:rsidR="00D917C0" w:rsidRPr="00025F76">
        <w:rPr>
          <w:bCs/>
        </w:rPr>
        <w:t xml:space="preserve">discharge </w:t>
      </w:r>
      <w:r w:rsidR="00E6274D" w:rsidRPr="00025F76">
        <w:rPr>
          <w:bCs/>
        </w:rPr>
        <w:t>in consultation with health profe</w:t>
      </w:r>
      <w:r w:rsidR="00231C2F" w:rsidRPr="00025F76">
        <w:rPr>
          <w:bCs/>
        </w:rPr>
        <w:t>ssionals as early as possible</w:t>
      </w:r>
      <w:r w:rsidRPr="00025F76">
        <w:rPr>
          <w:bCs/>
        </w:rPr>
        <w:t>, including:</w:t>
      </w:r>
      <w:r w:rsidR="00E6274D" w:rsidRPr="00025F76">
        <w:rPr>
          <w:bCs/>
        </w:rPr>
        <w:t xml:space="preserve"> </w:t>
      </w:r>
    </w:p>
    <w:p w14:paraId="44B78B41" w14:textId="1029D9F0" w:rsidR="0026708F" w:rsidRPr="00025F76" w:rsidRDefault="0075595A" w:rsidP="0075595A">
      <w:pPr>
        <w:pStyle w:val="Bullet1"/>
        <w:numPr>
          <w:ilvl w:val="0"/>
          <w:numId w:val="21"/>
        </w:numPr>
        <w:spacing w:before="120" w:after="120" w:line="276" w:lineRule="auto"/>
        <w:ind w:left="714" w:hanging="357"/>
        <w:contextualSpacing/>
      </w:pPr>
      <w:r w:rsidRPr="00025F76">
        <w:t>e</w:t>
      </w:r>
      <w:r w:rsidR="0026708F" w:rsidRPr="00025F76">
        <w:t>stimated date of transfer</w:t>
      </w:r>
    </w:p>
    <w:p w14:paraId="50662091" w14:textId="75C5B22C" w:rsidR="0026708F" w:rsidRPr="00025F76" w:rsidRDefault="0075595A" w:rsidP="0075595A">
      <w:pPr>
        <w:pStyle w:val="Bullet1"/>
        <w:numPr>
          <w:ilvl w:val="0"/>
          <w:numId w:val="21"/>
        </w:numPr>
        <w:spacing w:before="120" w:after="120" w:line="276" w:lineRule="auto"/>
        <w:ind w:left="714" w:hanging="357"/>
        <w:contextualSpacing/>
      </w:pPr>
      <w:r w:rsidRPr="00025F76">
        <w:t>d</w:t>
      </w:r>
      <w:r w:rsidR="0026708F" w:rsidRPr="00025F76">
        <w:t>estination of transfer</w:t>
      </w:r>
    </w:p>
    <w:p w14:paraId="78FC405A" w14:textId="2DD49CEB" w:rsidR="0026708F" w:rsidRPr="00025F76" w:rsidRDefault="0075595A" w:rsidP="0075595A">
      <w:pPr>
        <w:pStyle w:val="Bullet1"/>
        <w:numPr>
          <w:ilvl w:val="0"/>
          <w:numId w:val="21"/>
        </w:numPr>
        <w:spacing w:before="120" w:after="120" w:line="276" w:lineRule="auto"/>
        <w:ind w:left="714" w:hanging="357"/>
        <w:contextualSpacing/>
      </w:pPr>
      <w:r w:rsidRPr="00025F76">
        <w:t>t</w:t>
      </w:r>
      <w:r w:rsidR="00231C2F" w:rsidRPr="00025F76">
        <w:t>ransportation</w:t>
      </w:r>
    </w:p>
    <w:p w14:paraId="5890973D" w14:textId="190D44F3" w:rsidR="0026708F" w:rsidRPr="00025F76" w:rsidRDefault="0075595A" w:rsidP="0075595A">
      <w:pPr>
        <w:pStyle w:val="Bullet1"/>
        <w:numPr>
          <w:ilvl w:val="0"/>
          <w:numId w:val="21"/>
        </w:numPr>
        <w:spacing w:before="120" w:after="120" w:line="276" w:lineRule="auto"/>
        <w:ind w:left="714" w:hanging="357"/>
        <w:contextualSpacing/>
      </w:pPr>
      <w:r w:rsidRPr="00025F76">
        <w:t>r</w:t>
      </w:r>
      <w:r w:rsidR="00231C2F" w:rsidRPr="00025F76">
        <w:t>eferral services</w:t>
      </w:r>
    </w:p>
    <w:p w14:paraId="4DA1BE85" w14:textId="48DA1A63" w:rsidR="00BE5F7F" w:rsidRPr="00025F76" w:rsidRDefault="0075595A" w:rsidP="0075595A">
      <w:pPr>
        <w:pStyle w:val="Bullet1"/>
        <w:numPr>
          <w:ilvl w:val="0"/>
          <w:numId w:val="21"/>
        </w:numPr>
        <w:spacing w:before="120" w:after="120" w:line="276" w:lineRule="auto"/>
        <w:ind w:left="714" w:hanging="357"/>
        <w:contextualSpacing/>
      </w:pPr>
      <w:r w:rsidRPr="00025F76">
        <w:t>h</w:t>
      </w:r>
      <w:r w:rsidR="00BE5F7F" w:rsidRPr="00025F76">
        <w:t>ome assessments for equipment, modifications</w:t>
      </w:r>
    </w:p>
    <w:p w14:paraId="1C0EAFA8" w14:textId="3935E9B8" w:rsidR="00BE5F7F" w:rsidRPr="00025F76" w:rsidRDefault="0075595A" w:rsidP="0075595A">
      <w:pPr>
        <w:pStyle w:val="Bullet1"/>
        <w:numPr>
          <w:ilvl w:val="0"/>
          <w:numId w:val="21"/>
        </w:numPr>
        <w:spacing w:before="120" w:after="120" w:line="276" w:lineRule="auto"/>
        <w:ind w:left="714" w:hanging="357"/>
      </w:pPr>
      <w:proofErr w:type="gramStart"/>
      <w:r w:rsidRPr="00025F76">
        <w:t>r</w:t>
      </w:r>
      <w:r w:rsidR="00BE5F7F" w:rsidRPr="00025F76">
        <w:t>e-assessing</w:t>
      </w:r>
      <w:proofErr w:type="gramEnd"/>
      <w:r w:rsidR="00BE5F7F" w:rsidRPr="00025F76">
        <w:t xml:space="preserve"> support risks, (e.g. wound management, tube feeding).</w:t>
      </w:r>
    </w:p>
    <w:p w14:paraId="016B3330" w14:textId="2653192D" w:rsidR="001171CB" w:rsidRPr="00025F76" w:rsidRDefault="001171CB" w:rsidP="00164AB3">
      <w:pPr>
        <w:pStyle w:val="Heading3"/>
      </w:pPr>
      <w:r w:rsidRPr="00025F76">
        <w:t xml:space="preserve">Understand the participant’s ongoing </w:t>
      </w:r>
      <w:r w:rsidR="00B70E1D" w:rsidRPr="00025F76">
        <w:t xml:space="preserve">support </w:t>
      </w:r>
      <w:r w:rsidRPr="00025F76">
        <w:t>needs</w:t>
      </w:r>
      <w:r w:rsidR="00B70E1D" w:rsidRPr="00025F76">
        <w:t xml:space="preserve"> and assess </w:t>
      </w:r>
      <w:r w:rsidR="009B1FF7" w:rsidRPr="00025F76">
        <w:t>your capacity to meet them</w:t>
      </w:r>
    </w:p>
    <w:p w14:paraId="1CCAFC38" w14:textId="03C2FBA7" w:rsidR="00D71A41" w:rsidRPr="00025F76" w:rsidRDefault="00E54BD2" w:rsidP="0075595A">
      <w:pPr>
        <w:spacing w:before="120" w:after="120" w:line="276" w:lineRule="auto"/>
        <w:rPr>
          <w:bCs/>
        </w:rPr>
      </w:pPr>
      <w:r w:rsidRPr="00025F76">
        <w:rPr>
          <w:bCs/>
        </w:rPr>
        <w:t xml:space="preserve">Work with </w:t>
      </w:r>
      <w:r w:rsidR="00D71A41" w:rsidRPr="00025F76">
        <w:rPr>
          <w:bCs/>
        </w:rPr>
        <w:t xml:space="preserve">hospital staff to understand the </w:t>
      </w:r>
      <w:r w:rsidRPr="00025F76">
        <w:rPr>
          <w:bCs/>
        </w:rPr>
        <w:t xml:space="preserve">participant’s </w:t>
      </w:r>
      <w:r w:rsidR="00D71A41" w:rsidRPr="00025F76">
        <w:rPr>
          <w:bCs/>
        </w:rPr>
        <w:t xml:space="preserve">ongoing needs after </w:t>
      </w:r>
      <w:r w:rsidRPr="00025F76">
        <w:rPr>
          <w:bCs/>
        </w:rPr>
        <w:t xml:space="preserve">they </w:t>
      </w:r>
      <w:r w:rsidR="00D71A41" w:rsidRPr="00025F76">
        <w:rPr>
          <w:bCs/>
        </w:rPr>
        <w:t>leav</w:t>
      </w:r>
      <w:r w:rsidRPr="00025F76">
        <w:rPr>
          <w:bCs/>
        </w:rPr>
        <w:t xml:space="preserve">e </w:t>
      </w:r>
      <w:r w:rsidR="00D71A41" w:rsidRPr="00025F76">
        <w:rPr>
          <w:bCs/>
        </w:rPr>
        <w:t>hospital</w:t>
      </w:r>
      <w:r w:rsidR="00AD4C66" w:rsidRPr="00025F76">
        <w:rPr>
          <w:bCs/>
        </w:rPr>
        <w:t xml:space="preserve">. </w:t>
      </w:r>
      <w:r w:rsidRPr="00025F76">
        <w:rPr>
          <w:bCs/>
        </w:rPr>
        <w:t xml:space="preserve">This includes obtaining the following: </w:t>
      </w:r>
    </w:p>
    <w:p w14:paraId="79C1E097" w14:textId="5D60176B" w:rsidR="00E6274D" w:rsidRPr="00025F76" w:rsidRDefault="00AD4C66" w:rsidP="0075595A">
      <w:pPr>
        <w:pStyle w:val="Bullet1"/>
        <w:numPr>
          <w:ilvl w:val="0"/>
          <w:numId w:val="22"/>
        </w:numPr>
        <w:spacing w:before="120" w:after="120" w:line="276" w:lineRule="auto"/>
        <w:contextualSpacing/>
      </w:pPr>
      <w:r w:rsidRPr="00025F76">
        <w:t>Transfer of Care s</w:t>
      </w:r>
      <w:r w:rsidR="00E6274D" w:rsidRPr="00025F76">
        <w:t>ummary</w:t>
      </w:r>
      <w:r w:rsidR="00E54BD2" w:rsidRPr="00025F76">
        <w:t xml:space="preserve">: </w:t>
      </w:r>
      <w:r w:rsidR="00E6274D" w:rsidRPr="00025F76">
        <w:t>summary of the medical care the person received in hospital</w:t>
      </w:r>
      <w:r w:rsidR="00E54BD2" w:rsidRPr="00025F76">
        <w:t>.</w:t>
      </w:r>
    </w:p>
    <w:p w14:paraId="063A288B" w14:textId="13F332A0" w:rsidR="00E6274D" w:rsidRPr="00025F76" w:rsidRDefault="00E6274D" w:rsidP="0075595A">
      <w:pPr>
        <w:pStyle w:val="Bullet1"/>
        <w:numPr>
          <w:ilvl w:val="0"/>
          <w:numId w:val="22"/>
        </w:numPr>
        <w:spacing w:before="120" w:after="120" w:line="276" w:lineRule="auto"/>
        <w:contextualSpacing/>
      </w:pPr>
      <w:r w:rsidRPr="00025F76">
        <w:t>Care plan</w:t>
      </w:r>
      <w:r w:rsidR="00E54BD2" w:rsidRPr="00025F76">
        <w:t xml:space="preserve">: </w:t>
      </w:r>
      <w:r w:rsidR="000C3353" w:rsidRPr="00025F76">
        <w:t>follow-</w:t>
      </w:r>
      <w:r w:rsidRPr="00025F76">
        <w:t xml:space="preserve">up appointments with medical specialists, </w:t>
      </w:r>
      <w:r w:rsidR="000C3353" w:rsidRPr="00025F76">
        <w:t>care recommendations</w:t>
      </w:r>
      <w:r w:rsidRPr="00025F76">
        <w:t xml:space="preserve"> for the person’s regular health </w:t>
      </w:r>
      <w:r w:rsidR="000C3353" w:rsidRPr="00025F76">
        <w:t xml:space="preserve">care providers such as their </w:t>
      </w:r>
      <w:r w:rsidRPr="00025F76">
        <w:t>GP</w:t>
      </w:r>
      <w:r w:rsidR="000C3353" w:rsidRPr="00025F76">
        <w:t xml:space="preserve">, </w:t>
      </w:r>
      <w:r w:rsidR="00E54BD2" w:rsidRPr="00025F76">
        <w:t xml:space="preserve">and </w:t>
      </w:r>
      <w:r w:rsidR="000C3353" w:rsidRPr="00025F76">
        <w:t>any other required health or social requirements.</w:t>
      </w:r>
    </w:p>
    <w:p w14:paraId="64B7E77E" w14:textId="33409271" w:rsidR="00E6274D" w:rsidRPr="00025F76" w:rsidRDefault="00AD4C66" w:rsidP="0075595A">
      <w:pPr>
        <w:pStyle w:val="Bullet1"/>
        <w:numPr>
          <w:ilvl w:val="0"/>
          <w:numId w:val="22"/>
        </w:numPr>
        <w:spacing w:before="120" w:after="120" w:line="276" w:lineRule="auto"/>
        <w:contextualSpacing/>
      </w:pPr>
      <w:r w:rsidRPr="00025F76">
        <w:t>Medications s</w:t>
      </w:r>
      <w:r w:rsidR="000C3353" w:rsidRPr="00025F76">
        <w:t>ummary</w:t>
      </w:r>
      <w:r w:rsidR="00E54BD2" w:rsidRPr="00025F76">
        <w:t xml:space="preserve">: </w:t>
      </w:r>
      <w:r w:rsidR="000C3353" w:rsidRPr="00025F76">
        <w:t>l</w:t>
      </w:r>
      <w:r w:rsidR="00E6274D" w:rsidRPr="00025F76">
        <w:t xml:space="preserve">ist of </w:t>
      </w:r>
      <w:r w:rsidR="000C3353" w:rsidRPr="00025F76">
        <w:t xml:space="preserve">current </w:t>
      </w:r>
      <w:r w:rsidR="00E6274D" w:rsidRPr="00025F76">
        <w:t>medications, including information about any new or changed medications</w:t>
      </w:r>
      <w:r w:rsidR="000C3353" w:rsidRPr="00025F76">
        <w:t>.</w:t>
      </w:r>
    </w:p>
    <w:p w14:paraId="591CF6B7" w14:textId="55E9F546" w:rsidR="00D71A41" w:rsidRPr="00025F76" w:rsidRDefault="00B70E1D" w:rsidP="0075595A">
      <w:pPr>
        <w:spacing w:before="120" w:after="120" w:line="276" w:lineRule="auto"/>
      </w:pPr>
      <w:r w:rsidRPr="00025F76">
        <w:rPr>
          <w:bCs/>
        </w:rPr>
        <w:t>A</w:t>
      </w:r>
      <w:r w:rsidR="00987E1A" w:rsidRPr="00025F76">
        <w:rPr>
          <w:bCs/>
        </w:rPr>
        <w:t xml:space="preserve">sk about and understand </w:t>
      </w:r>
      <w:r w:rsidR="00624438" w:rsidRPr="00025F76">
        <w:rPr>
          <w:bCs/>
        </w:rPr>
        <w:t xml:space="preserve">any changes to the person’s ongoing care needs that have </w:t>
      </w:r>
      <w:r w:rsidR="00987E1A" w:rsidRPr="00025F76">
        <w:rPr>
          <w:bCs/>
        </w:rPr>
        <w:t>occurred</w:t>
      </w:r>
      <w:r w:rsidR="002811BC" w:rsidRPr="00025F76">
        <w:rPr>
          <w:bCs/>
        </w:rPr>
        <w:t xml:space="preserve"> during their hospital stay</w:t>
      </w:r>
      <w:r w:rsidRPr="00025F76">
        <w:rPr>
          <w:bCs/>
        </w:rPr>
        <w:t>, and a</w:t>
      </w:r>
      <w:r w:rsidR="002811BC" w:rsidRPr="00025F76">
        <w:t>ssess w</w:t>
      </w:r>
      <w:r w:rsidR="00987E1A" w:rsidRPr="00025F76">
        <w:t xml:space="preserve">hether </w:t>
      </w:r>
      <w:r w:rsidR="00E54BD2" w:rsidRPr="00025F76">
        <w:t xml:space="preserve">you </w:t>
      </w:r>
      <w:r w:rsidR="00987E1A" w:rsidRPr="00025F76">
        <w:t xml:space="preserve">can provide for </w:t>
      </w:r>
      <w:r w:rsidRPr="00025F76">
        <w:t>these</w:t>
      </w:r>
      <w:r w:rsidRPr="00025F76">
        <w:rPr>
          <w:rFonts w:eastAsia="Arial" w:cs="Arial"/>
        </w:rPr>
        <w:t xml:space="preserve"> (for example, if the participant now </w:t>
      </w:r>
      <w:r w:rsidR="00AD4C66" w:rsidRPr="00025F76">
        <w:rPr>
          <w:rFonts w:eastAsia="Arial" w:cs="Arial"/>
        </w:rPr>
        <w:t>require</w:t>
      </w:r>
      <w:r w:rsidRPr="00025F76">
        <w:rPr>
          <w:rFonts w:eastAsia="Arial" w:cs="Arial"/>
        </w:rPr>
        <w:t>s</w:t>
      </w:r>
      <w:r w:rsidR="00AD4C66" w:rsidRPr="00025F76">
        <w:rPr>
          <w:rFonts w:eastAsia="Arial" w:cs="Arial"/>
        </w:rPr>
        <w:t xml:space="preserve"> specifically trained staff</w:t>
      </w:r>
      <w:r w:rsidRPr="00025F76">
        <w:rPr>
          <w:rFonts w:eastAsia="Arial" w:cs="Arial"/>
        </w:rPr>
        <w:t xml:space="preserve"> or</w:t>
      </w:r>
      <w:r w:rsidR="00AD4C66" w:rsidRPr="00025F76">
        <w:rPr>
          <w:rFonts w:eastAsia="Arial" w:cs="Arial"/>
        </w:rPr>
        <w:t xml:space="preserve"> equipment</w:t>
      </w:r>
      <w:r w:rsidRPr="00025F76">
        <w:rPr>
          <w:rFonts w:eastAsia="Arial" w:cs="Arial"/>
        </w:rPr>
        <w:t>)</w:t>
      </w:r>
      <w:r w:rsidR="00987E1A" w:rsidRPr="00025F76">
        <w:rPr>
          <w:rFonts w:eastAsia="Arial" w:cs="Arial"/>
        </w:rPr>
        <w:t>.</w:t>
      </w:r>
      <w:r w:rsidRPr="00025F76">
        <w:rPr>
          <w:rFonts w:eastAsia="Arial" w:cs="Arial"/>
        </w:rPr>
        <w:t xml:space="preserve"> </w:t>
      </w:r>
      <w:r w:rsidR="00987E1A" w:rsidRPr="00025F76">
        <w:t xml:space="preserve">If </w:t>
      </w:r>
      <w:r w:rsidR="00E54BD2" w:rsidRPr="00025F76">
        <w:t xml:space="preserve">you </w:t>
      </w:r>
      <w:r w:rsidR="00987E1A" w:rsidRPr="00025F76">
        <w:t xml:space="preserve">cannot provide </w:t>
      </w:r>
      <w:r w:rsidR="00D01DE4" w:rsidRPr="00025F76">
        <w:t xml:space="preserve">these </w:t>
      </w:r>
      <w:r w:rsidR="00AD4C66" w:rsidRPr="00025F76">
        <w:t>new</w:t>
      </w:r>
      <w:r w:rsidR="00987E1A" w:rsidRPr="00025F76">
        <w:t xml:space="preserve"> care requirements, </w:t>
      </w:r>
      <w:r w:rsidR="00E54BD2" w:rsidRPr="00025F76">
        <w:t xml:space="preserve">you </w:t>
      </w:r>
      <w:r w:rsidR="00624438" w:rsidRPr="00025F76">
        <w:t>must</w:t>
      </w:r>
      <w:r w:rsidRPr="00025F76">
        <w:t xml:space="preserve"> clearly</w:t>
      </w:r>
      <w:r w:rsidR="00624438" w:rsidRPr="00025F76">
        <w:t xml:space="preserve"> communicate </w:t>
      </w:r>
      <w:r w:rsidRPr="00025F76">
        <w:t>this to hospital staff</w:t>
      </w:r>
      <w:r w:rsidR="00AD4C66" w:rsidRPr="00025F76">
        <w:t xml:space="preserve"> </w:t>
      </w:r>
      <w:r w:rsidR="00987E1A" w:rsidRPr="00025F76">
        <w:t xml:space="preserve">as </w:t>
      </w:r>
      <w:r w:rsidR="00987E1A" w:rsidRPr="00025F76">
        <w:rPr>
          <w:color w:val="auto"/>
        </w:rPr>
        <w:t>soon as possible</w:t>
      </w:r>
      <w:r w:rsidR="00D71A41" w:rsidRPr="00025F76">
        <w:t>.</w:t>
      </w:r>
    </w:p>
    <w:p w14:paraId="1A91FD7E" w14:textId="657228C4" w:rsidR="00624438" w:rsidRPr="00025F76" w:rsidRDefault="009C01B7" w:rsidP="0075595A">
      <w:pPr>
        <w:spacing w:before="120" w:after="120" w:line="276" w:lineRule="auto"/>
        <w:rPr>
          <w:bCs/>
        </w:rPr>
      </w:pPr>
      <w:r w:rsidRPr="00025F76">
        <w:rPr>
          <w:bCs/>
        </w:rPr>
        <w:t>Early and o</w:t>
      </w:r>
      <w:r w:rsidR="00B01634" w:rsidRPr="00025F76">
        <w:rPr>
          <w:bCs/>
        </w:rPr>
        <w:t xml:space="preserve">ngoing communication with </w:t>
      </w:r>
      <w:r w:rsidR="003F5E59" w:rsidRPr="00025F76">
        <w:rPr>
          <w:bCs/>
        </w:rPr>
        <w:t>hospital staff,</w:t>
      </w:r>
      <w:r w:rsidR="00B01634" w:rsidRPr="00025F76">
        <w:rPr>
          <w:bCs/>
        </w:rPr>
        <w:t xml:space="preserve"> </w:t>
      </w:r>
      <w:r w:rsidR="003F5E59" w:rsidRPr="00025F76">
        <w:rPr>
          <w:bCs/>
        </w:rPr>
        <w:t>the participant</w:t>
      </w:r>
      <w:r w:rsidR="00B01634" w:rsidRPr="00025F76">
        <w:rPr>
          <w:bCs/>
        </w:rPr>
        <w:t xml:space="preserve">, </w:t>
      </w:r>
      <w:r w:rsidR="003F5E59" w:rsidRPr="00025F76">
        <w:rPr>
          <w:bCs/>
        </w:rPr>
        <w:t>support people</w:t>
      </w:r>
      <w:r w:rsidR="00B01634" w:rsidRPr="00025F76">
        <w:rPr>
          <w:bCs/>
        </w:rPr>
        <w:t xml:space="preserve"> such as </w:t>
      </w:r>
      <w:r w:rsidR="00D71A41" w:rsidRPr="00025F76">
        <w:rPr>
          <w:bCs/>
        </w:rPr>
        <w:t xml:space="preserve">carers </w:t>
      </w:r>
      <w:r w:rsidR="00B70E1D" w:rsidRPr="00025F76">
        <w:rPr>
          <w:bCs/>
        </w:rPr>
        <w:t>(</w:t>
      </w:r>
      <w:r w:rsidR="00D71A41" w:rsidRPr="00025F76">
        <w:rPr>
          <w:bCs/>
        </w:rPr>
        <w:t>and</w:t>
      </w:r>
      <w:r w:rsidR="00B70E1D" w:rsidRPr="00025F76">
        <w:rPr>
          <w:bCs/>
        </w:rPr>
        <w:t>,</w:t>
      </w:r>
      <w:r w:rsidR="00D71A41" w:rsidRPr="00025F76">
        <w:rPr>
          <w:bCs/>
        </w:rPr>
        <w:t xml:space="preserve"> </w:t>
      </w:r>
      <w:r w:rsidR="003F5E59" w:rsidRPr="00025F76">
        <w:rPr>
          <w:bCs/>
        </w:rPr>
        <w:t>if required the participant’s NDIS plan manager</w:t>
      </w:r>
      <w:r w:rsidR="00B70E1D" w:rsidRPr="00025F76">
        <w:rPr>
          <w:bCs/>
        </w:rPr>
        <w:t>)</w:t>
      </w:r>
      <w:r w:rsidR="003F5E59" w:rsidRPr="00025F76">
        <w:rPr>
          <w:bCs/>
        </w:rPr>
        <w:t>, can prevent delays in leaving hospital and reduce risk to participant</w:t>
      </w:r>
      <w:r w:rsidRPr="00025F76">
        <w:rPr>
          <w:bCs/>
        </w:rPr>
        <w:t>s</w:t>
      </w:r>
      <w:r w:rsidR="003F5E59" w:rsidRPr="00025F76">
        <w:rPr>
          <w:bCs/>
        </w:rPr>
        <w:t xml:space="preserve"> </w:t>
      </w:r>
      <w:r w:rsidRPr="00025F76">
        <w:rPr>
          <w:bCs/>
        </w:rPr>
        <w:t>following</w:t>
      </w:r>
      <w:r w:rsidR="003F5E59" w:rsidRPr="00025F76">
        <w:rPr>
          <w:bCs/>
        </w:rPr>
        <w:t xml:space="preserve"> discharge</w:t>
      </w:r>
      <w:r w:rsidR="00B01634" w:rsidRPr="00025F76">
        <w:rPr>
          <w:bCs/>
        </w:rPr>
        <w:t>.</w:t>
      </w:r>
    </w:p>
    <w:p w14:paraId="0E03E70A" w14:textId="50B088F5" w:rsidR="00E6274D" w:rsidRPr="00025F76" w:rsidRDefault="00F71C1B" w:rsidP="0075595A">
      <w:pPr>
        <w:pStyle w:val="Bullet1"/>
        <w:numPr>
          <w:ilvl w:val="0"/>
          <w:numId w:val="0"/>
        </w:numPr>
        <w:spacing w:before="120" w:after="120" w:line="276" w:lineRule="auto"/>
      </w:pPr>
      <w:r w:rsidRPr="00025F76">
        <w:t xml:space="preserve">Give the participant </w:t>
      </w:r>
      <w:r w:rsidR="00E6274D" w:rsidRPr="00025F76">
        <w:t xml:space="preserve">information about </w:t>
      </w:r>
      <w:r w:rsidR="00D87255" w:rsidRPr="00025F76">
        <w:t xml:space="preserve">their </w:t>
      </w:r>
      <w:r w:rsidR="00E6274D" w:rsidRPr="00025F76">
        <w:t>follow-up care when they leave hospital</w:t>
      </w:r>
      <w:r w:rsidR="00D87255" w:rsidRPr="00025F76">
        <w:t xml:space="preserve">. If required, make this available in </w:t>
      </w:r>
      <w:r w:rsidR="0075595A" w:rsidRPr="00025F76">
        <w:t>E</w:t>
      </w:r>
      <w:r w:rsidR="00FD6638" w:rsidRPr="00025F76">
        <w:t>asy</w:t>
      </w:r>
      <w:r w:rsidR="00FE637F" w:rsidRPr="00025F76">
        <w:t xml:space="preserve"> English if required</w:t>
      </w:r>
      <w:r w:rsidR="00E6274D" w:rsidRPr="00025F76">
        <w:t>.</w:t>
      </w:r>
    </w:p>
    <w:p w14:paraId="5127C635" w14:textId="5AE65AC6" w:rsidR="00DB5FD7" w:rsidRPr="00025F76" w:rsidRDefault="00DB5FD7" w:rsidP="00164AB3">
      <w:pPr>
        <w:pStyle w:val="Heading1"/>
      </w:pPr>
      <w:r w:rsidRPr="00025F76">
        <w:lastRenderedPageBreak/>
        <w:t xml:space="preserve">Recommended ways to support NDIS participants admitted to hospital </w:t>
      </w:r>
    </w:p>
    <w:p w14:paraId="26B842FA" w14:textId="77777777" w:rsidR="0099570B" w:rsidRPr="00025F76" w:rsidRDefault="0099570B" w:rsidP="0075595A">
      <w:pPr>
        <w:pStyle w:val="Bullet1"/>
        <w:numPr>
          <w:ilvl w:val="0"/>
          <w:numId w:val="23"/>
        </w:numPr>
        <w:spacing w:before="120" w:after="120" w:line="276" w:lineRule="auto"/>
        <w:ind w:left="714" w:hanging="357"/>
      </w:pPr>
      <w:r w:rsidRPr="00025F76">
        <w:t xml:space="preserve">Prepare for potential hospital admissions by keeping participants’ health-related information and documentation up-to-date and accurate, so it </w:t>
      </w:r>
      <w:proofErr w:type="gramStart"/>
      <w:r w:rsidRPr="00025F76">
        <w:t>can be readily communicated</w:t>
      </w:r>
      <w:proofErr w:type="gramEnd"/>
      <w:r w:rsidRPr="00025F76">
        <w:t xml:space="preserve"> to hospital staff.</w:t>
      </w:r>
    </w:p>
    <w:p w14:paraId="05EE3D7A" w14:textId="77777777" w:rsidR="0099570B" w:rsidRPr="00025F76" w:rsidRDefault="0099570B" w:rsidP="0075595A">
      <w:pPr>
        <w:pStyle w:val="Bullet1"/>
        <w:numPr>
          <w:ilvl w:val="0"/>
          <w:numId w:val="23"/>
        </w:numPr>
        <w:spacing w:before="120" w:after="120" w:line="276" w:lineRule="auto"/>
        <w:ind w:left="714" w:hanging="357"/>
      </w:pPr>
      <w:r w:rsidRPr="00025F76">
        <w:t>Support participants to prepare for a hospital admission by coordinating a pre-admission meeting with hospital staff and the participant’s support network.</w:t>
      </w:r>
    </w:p>
    <w:p w14:paraId="1FB91DD4" w14:textId="77777777" w:rsidR="0099570B" w:rsidRPr="00025F76" w:rsidRDefault="0099570B" w:rsidP="0075595A">
      <w:pPr>
        <w:pStyle w:val="Bullet1"/>
        <w:numPr>
          <w:ilvl w:val="0"/>
          <w:numId w:val="23"/>
        </w:numPr>
        <w:spacing w:before="120" w:after="120" w:line="276" w:lineRule="auto"/>
        <w:ind w:left="714" w:hanging="357"/>
      </w:pPr>
      <w:r w:rsidRPr="00025F76">
        <w:t>Plan transitions out of hospital as early as possible based on professional medical advice to ensure that any changes in care are considered.</w:t>
      </w:r>
    </w:p>
    <w:p w14:paraId="523E0386" w14:textId="49DACEBA" w:rsidR="0099570B" w:rsidRPr="00025F76" w:rsidRDefault="0099570B" w:rsidP="0075595A">
      <w:pPr>
        <w:pStyle w:val="Bullet1"/>
        <w:numPr>
          <w:ilvl w:val="0"/>
          <w:numId w:val="23"/>
        </w:numPr>
        <w:spacing w:before="120" w:after="120" w:line="276" w:lineRule="auto"/>
        <w:ind w:left="714" w:hanging="357"/>
      </w:pPr>
      <w:r w:rsidRPr="00025F76">
        <w:t>Work with hospital staff and the participant’s support network to ensure you can provide any additional health-related support the participant may require after they leave hospital.</w:t>
      </w:r>
    </w:p>
    <w:p w14:paraId="605C32A9" w14:textId="4F799D3C" w:rsidR="00BA448D" w:rsidRPr="00025F76" w:rsidRDefault="00BA448D" w:rsidP="00164AB3">
      <w:pPr>
        <w:pStyle w:val="Heading1"/>
      </w:pPr>
      <w:r w:rsidRPr="00025F76">
        <w:t>Provider obligations</w:t>
      </w:r>
      <w:r w:rsidR="00224568" w:rsidRPr="00025F76">
        <w:t xml:space="preserve"> related to transitions of care</w:t>
      </w:r>
    </w:p>
    <w:p w14:paraId="34DF4258" w14:textId="77777777" w:rsidR="00B6728A" w:rsidRPr="00025F76" w:rsidRDefault="00B6728A" w:rsidP="00164AB3">
      <w:pPr>
        <w:pStyle w:val="Heading2"/>
      </w:pPr>
      <w:r w:rsidRPr="00025F76">
        <w:t xml:space="preserve">NDIS Code of Conduct </w:t>
      </w:r>
    </w:p>
    <w:p w14:paraId="7400FD96" w14:textId="32D3CE74" w:rsidR="00B6728A" w:rsidRPr="00025F76" w:rsidRDefault="00B6728A" w:rsidP="00B16680">
      <w:pPr>
        <w:pStyle w:val="Default"/>
        <w:spacing w:before="120" w:after="120" w:line="276" w:lineRule="auto"/>
        <w:rPr>
          <w:rFonts w:asciiTheme="minorHAnsi" w:hAnsiTheme="minorHAnsi" w:cstheme="minorHAnsi"/>
          <w:sz w:val="22"/>
          <w:szCs w:val="22"/>
        </w:rPr>
      </w:pPr>
      <w:r w:rsidRPr="00025F76">
        <w:rPr>
          <w:rFonts w:asciiTheme="minorHAnsi" w:hAnsiTheme="minorHAnsi" w:cstheme="minorHAnsi"/>
          <w:sz w:val="22"/>
          <w:szCs w:val="22"/>
        </w:rPr>
        <w:t xml:space="preserve">The NDIS Code of Conduct requires </w:t>
      </w:r>
      <w:r w:rsidR="00D01DE4" w:rsidRPr="00025F76">
        <w:rPr>
          <w:rFonts w:asciiTheme="minorHAnsi" w:hAnsiTheme="minorHAnsi" w:cstheme="minorHAnsi"/>
          <w:sz w:val="22"/>
          <w:szCs w:val="22"/>
        </w:rPr>
        <w:t xml:space="preserve">all NDIS providers and </w:t>
      </w:r>
      <w:r w:rsidRPr="00025F76">
        <w:rPr>
          <w:rFonts w:asciiTheme="minorHAnsi" w:hAnsiTheme="minorHAnsi" w:cstheme="minorHAnsi"/>
          <w:sz w:val="22"/>
          <w:szCs w:val="22"/>
        </w:rPr>
        <w:t xml:space="preserve">workers who deliver NDIS supports to NDIS participants to, among other things: </w:t>
      </w:r>
    </w:p>
    <w:p w14:paraId="650D589A" w14:textId="77777777" w:rsidR="00B6728A" w:rsidRPr="00025F76" w:rsidRDefault="00B6728A" w:rsidP="0075595A">
      <w:pPr>
        <w:pStyle w:val="Default"/>
        <w:numPr>
          <w:ilvl w:val="0"/>
          <w:numId w:val="26"/>
        </w:numPr>
        <w:spacing w:before="120" w:after="120" w:line="276" w:lineRule="auto"/>
        <w:contextualSpacing/>
        <w:rPr>
          <w:rFonts w:asciiTheme="minorHAnsi" w:hAnsiTheme="minorHAnsi" w:cstheme="minorHAnsi"/>
          <w:sz w:val="22"/>
          <w:szCs w:val="22"/>
        </w:rPr>
      </w:pPr>
      <w:r w:rsidRPr="00025F76">
        <w:rPr>
          <w:rFonts w:asciiTheme="minorHAnsi" w:hAnsiTheme="minorHAnsi" w:cstheme="minorHAnsi"/>
          <w:sz w:val="22"/>
          <w:szCs w:val="22"/>
        </w:rPr>
        <w:t>provide supports and services in a safe and competent manner with care and skill</w:t>
      </w:r>
    </w:p>
    <w:p w14:paraId="4C0D088D" w14:textId="77777777" w:rsidR="00B6728A" w:rsidRPr="00025F76" w:rsidRDefault="00B6728A" w:rsidP="0075595A">
      <w:pPr>
        <w:pStyle w:val="Default"/>
        <w:numPr>
          <w:ilvl w:val="0"/>
          <w:numId w:val="26"/>
        </w:numPr>
        <w:spacing w:before="120" w:after="120" w:line="276" w:lineRule="auto"/>
        <w:contextualSpacing/>
        <w:rPr>
          <w:rFonts w:asciiTheme="minorHAnsi" w:hAnsiTheme="minorHAnsi" w:cstheme="minorHAnsi"/>
          <w:sz w:val="22"/>
          <w:szCs w:val="22"/>
        </w:rPr>
      </w:pPr>
      <w:proofErr w:type="gramStart"/>
      <w:r w:rsidRPr="00025F76">
        <w:rPr>
          <w:rFonts w:asciiTheme="minorHAnsi" w:eastAsia="Times New Roman" w:hAnsiTheme="minorHAnsi" w:cstheme="minorHAnsi"/>
          <w:sz w:val="22"/>
          <w:szCs w:val="22"/>
        </w:rPr>
        <w:t>promptly</w:t>
      </w:r>
      <w:proofErr w:type="gramEnd"/>
      <w:r w:rsidRPr="00025F76">
        <w:rPr>
          <w:rFonts w:asciiTheme="minorHAnsi" w:eastAsia="Times New Roman" w:hAnsiTheme="minorHAnsi" w:cstheme="minorHAnsi"/>
          <w:sz w:val="22"/>
          <w:szCs w:val="22"/>
        </w:rPr>
        <w:t xml:space="preserve"> take steps to raise and act on concerns about matters that might have an impact on the quality and safety of supports provided to people with disability. </w:t>
      </w:r>
    </w:p>
    <w:p w14:paraId="466C7578" w14:textId="77777777" w:rsidR="00B6728A" w:rsidRPr="00025F76" w:rsidRDefault="00B6728A" w:rsidP="00164AB3">
      <w:pPr>
        <w:pStyle w:val="Heading2"/>
      </w:pPr>
      <w:r w:rsidRPr="00025F76">
        <w:t xml:space="preserve">NDIS Practice Standards </w:t>
      </w:r>
    </w:p>
    <w:p w14:paraId="6399F833" w14:textId="77777777" w:rsidR="00D01DE4" w:rsidRPr="00025F76" w:rsidRDefault="00D01DE4" w:rsidP="00D01DE4">
      <w:pPr>
        <w:spacing w:before="120" w:after="120" w:line="276" w:lineRule="auto"/>
      </w:pPr>
      <w:r w:rsidRPr="00025F76">
        <w:t>As a registered NDIS provider, you also have obligations under the NDIS Practice Standards, as part of your conditions of registration, that relate to the delivery of safe, quality supports and services, and the management of risks associated with the supports you provide to NDIS participants.</w:t>
      </w:r>
    </w:p>
    <w:p w14:paraId="24D3B949" w14:textId="6AB27549" w:rsidR="00D01DE4" w:rsidRPr="00025F76" w:rsidRDefault="00D01DE4" w:rsidP="00D01DE4">
      <w:pPr>
        <w:autoSpaceDE w:val="0"/>
        <w:autoSpaceDN w:val="0"/>
        <w:adjustRightInd w:val="0"/>
        <w:spacing w:before="120" w:after="120" w:line="276" w:lineRule="auto"/>
        <w:rPr>
          <w:rFonts w:eastAsia="Times New Roman" w:cstheme="minorHAnsi"/>
          <w:color w:val="000000"/>
          <w:szCs w:val="22"/>
        </w:rPr>
      </w:pPr>
      <w:r w:rsidRPr="00025F76">
        <w:rPr>
          <w:rFonts w:eastAsia="Times New Roman" w:cstheme="minorHAnsi"/>
          <w:color w:val="000000"/>
          <w:szCs w:val="22"/>
        </w:rPr>
        <w:t>The</w:t>
      </w:r>
      <w:r w:rsidR="0075595A" w:rsidRPr="00025F76">
        <w:rPr>
          <w:rFonts w:eastAsia="Times New Roman" w:cstheme="minorHAnsi"/>
          <w:color w:val="000000"/>
          <w:szCs w:val="22"/>
        </w:rPr>
        <w:t xml:space="preserve"> NDIS</w:t>
      </w:r>
      <w:r w:rsidRPr="00025F76">
        <w:rPr>
          <w:rFonts w:eastAsia="Times New Roman" w:cstheme="minorHAnsi"/>
          <w:color w:val="000000"/>
          <w:szCs w:val="22"/>
        </w:rPr>
        <w:t xml:space="preserve"> Commission’s guidance on the </w:t>
      </w:r>
      <w:hyperlink r:id="rId9" w:history="1">
        <w:r w:rsidRPr="00025F76">
          <w:rPr>
            <w:rStyle w:val="Hyperlink"/>
            <w:szCs w:val="22"/>
          </w:rPr>
          <w:t>NDIS Practice Standards and Quality Indicators</w:t>
        </w:r>
      </w:hyperlink>
      <w:r w:rsidRPr="00025F76">
        <w:rPr>
          <w:rFonts w:eastAsia="Times New Roman" w:cstheme="minorHAnsi"/>
          <w:color w:val="000000"/>
          <w:szCs w:val="22"/>
        </w:rPr>
        <w:t xml:space="preserve"> </w:t>
      </w:r>
      <w:r w:rsidRPr="00025F76">
        <w:rPr>
          <w:rFonts w:eastAsia="Times New Roman" w:cstheme="minorHAnsi"/>
          <w:color w:val="000000"/>
        </w:rPr>
        <w:t>provides a further resource to assist registered NDIS providers understand their obligations.</w:t>
      </w:r>
    </w:p>
    <w:p w14:paraId="32608786" w14:textId="77777777" w:rsidR="00B6728A" w:rsidRPr="00025F76" w:rsidRDefault="00B6728A" w:rsidP="0075595A">
      <w:pPr>
        <w:autoSpaceDE w:val="0"/>
        <w:autoSpaceDN w:val="0"/>
        <w:adjustRightInd w:val="0"/>
        <w:spacing w:before="120" w:after="120" w:line="276" w:lineRule="auto"/>
        <w:contextualSpacing/>
        <w:rPr>
          <w:rFonts w:eastAsia="Times New Roman" w:cstheme="minorHAnsi"/>
          <w:color w:val="000000"/>
          <w:szCs w:val="22"/>
        </w:rPr>
      </w:pPr>
      <w:r w:rsidRPr="00025F76">
        <w:rPr>
          <w:rFonts w:eastAsia="Times New Roman" w:cstheme="minorHAnsi"/>
          <w:color w:val="000000"/>
          <w:szCs w:val="22"/>
        </w:rPr>
        <w:t>The NDIS Practice Standards that are relevant to this alert include:</w:t>
      </w:r>
    </w:p>
    <w:p w14:paraId="3C3BDE2C" w14:textId="6D7FE1A8" w:rsidR="00B6728A" w:rsidRPr="00025F76" w:rsidRDefault="00B6728A" w:rsidP="0075595A">
      <w:pPr>
        <w:pStyle w:val="ListParagraph"/>
        <w:numPr>
          <w:ilvl w:val="0"/>
          <w:numId w:val="27"/>
        </w:numPr>
        <w:autoSpaceDE w:val="0"/>
        <w:autoSpaceDN w:val="0"/>
        <w:adjustRightInd w:val="0"/>
        <w:spacing w:before="120" w:after="120"/>
        <w:rPr>
          <w:rFonts w:ascii="Calibri" w:hAnsi="Calibri" w:cs="Calibri"/>
          <w:color w:val="000000"/>
        </w:rPr>
      </w:pPr>
      <w:r w:rsidRPr="00025F76">
        <w:rPr>
          <w:rFonts w:ascii="Calibri" w:hAnsi="Calibri" w:cs="Calibri"/>
          <w:b/>
          <w:bCs/>
          <w:color w:val="000000"/>
        </w:rPr>
        <w:t xml:space="preserve">Risk </w:t>
      </w:r>
      <w:r w:rsidR="00574141" w:rsidRPr="00025F76">
        <w:rPr>
          <w:rFonts w:ascii="Calibri" w:hAnsi="Calibri" w:cs="Calibri"/>
          <w:b/>
          <w:bCs/>
          <w:color w:val="000000"/>
        </w:rPr>
        <w:t>m</w:t>
      </w:r>
      <w:r w:rsidRPr="00025F76">
        <w:rPr>
          <w:rFonts w:ascii="Calibri" w:hAnsi="Calibri" w:cs="Calibri"/>
          <w:b/>
          <w:bCs/>
          <w:color w:val="000000"/>
        </w:rPr>
        <w:t>anagement</w:t>
      </w:r>
      <w:r w:rsidRPr="00025F76">
        <w:rPr>
          <w:rFonts w:ascii="Calibri" w:hAnsi="Calibri" w:cs="Calibri"/>
          <w:color w:val="000000"/>
        </w:rPr>
        <w:t xml:space="preserve">: Risks to participants </w:t>
      </w:r>
      <w:proofErr w:type="gramStart"/>
      <w:r w:rsidRPr="00025F76">
        <w:rPr>
          <w:rFonts w:ascii="Calibri" w:hAnsi="Calibri" w:cs="Calibri"/>
          <w:color w:val="000000"/>
        </w:rPr>
        <w:t>are identified and managed</w:t>
      </w:r>
      <w:proofErr w:type="gramEnd"/>
      <w:r w:rsidRPr="00025F76">
        <w:rPr>
          <w:rFonts w:ascii="Calibri" w:hAnsi="Calibri" w:cs="Calibri"/>
          <w:color w:val="000000"/>
        </w:rPr>
        <w:t xml:space="preserve">. </w:t>
      </w:r>
    </w:p>
    <w:p w14:paraId="5FC70431" w14:textId="5E00D028" w:rsidR="00B6728A" w:rsidRPr="00025F76" w:rsidRDefault="00B6728A" w:rsidP="0075595A">
      <w:pPr>
        <w:pStyle w:val="ListParagraph"/>
        <w:numPr>
          <w:ilvl w:val="0"/>
          <w:numId w:val="27"/>
        </w:numPr>
        <w:autoSpaceDE w:val="0"/>
        <w:autoSpaceDN w:val="0"/>
        <w:adjustRightInd w:val="0"/>
        <w:spacing w:before="120" w:after="120"/>
        <w:rPr>
          <w:rFonts w:ascii="Calibri" w:hAnsi="Calibri" w:cs="Calibri"/>
          <w:color w:val="000000"/>
        </w:rPr>
      </w:pPr>
      <w:r w:rsidRPr="00025F76">
        <w:rPr>
          <w:rFonts w:ascii="Calibri" w:hAnsi="Calibri" w:cs="Calibri"/>
          <w:b/>
          <w:bCs/>
          <w:color w:val="000000"/>
        </w:rPr>
        <w:t xml:space="preserve">Quality </w:t>
      </w:r>
      <w:r w:rsidR="00574141" w:rsidRPr="00025F76">
        <w:rPr>
          <w:rFonts w:ascii="Calibri" w:hAnsi="Calibri" w:cs="Calibri"/>
          <w:b/>
          <w:bCs/>
          <w:color w:val="000000"/>
        </w:rPr>
        <w:t>m</w:t>
      </w:r>
      <w:r w:rsidRPr="00025F76">
        <w:rPr>
          <w:rFonts w:ascii="Calibri" w:hAnsi="Calibri" w:cs="Calibri"/>
          <w:b/>
          <w:bCs/>
          <w:color w:val="000000"/>
        </w:rPr>
        <w:t xml:space="preserve">anagement: </w:t>
      </w:r>
      <w:r w:rsidRPr="00025F76">
        <w:rPr>
          <w:rFonts w:ascii="Calibri" w:hAnsi="Calibri" w:cs="Calibri"/>
          <w:color w:val="000000"/>
        </w:rPr>
        <w:t xml:space="preserve">Each participant benefits from a quality management system relevant and proportionate to the size and scale of the provider, which promotes continuous improvement of support delivery. </w:t>
      </w:r>
    </w:p>
    <w:p w14:paraId="70F8AD34" w14:textId="7FC956C7" w:rsidR="00B6728A" w:rsidRPr="00025F76" w:rsidRDefault="00B6728A" w:rsidP="0075595A">
      <w:pPr>
        <w:pStyle w:val="ListParagraph"/>
        <w:numPr>
          <w:ilvl w:val="0"/>
          <w:numId w:val="27"/>
        </w:numPr>
        <w:autoSpaceDE w:val="0"/>
        <w:autoSpaceDN w:val="0"/>
        <w:adjustRightInd w:val="0"/>
        <w:spacing w:before="120" w:after="120"/>
        <w:rPr>
          <w:rFonts w:ascii="Calibri" w:hAnsi="Calibri" w:cs="Calibri"/>
          <w:color w:val="000000"/>
        </w:rPr>
      </w:pPr>
      <w:r w:rsidRPr="00025F76">
        <w:rPr>
          <w:rFonts w:ascii="Calibri" w:hAnsi="Calibri" w:cs="Calibri"/>
          <w:b/>
          <w:bCs/>
          <w:color w:val="000000"/>
        </w:rPr>
        <w:t xml:space="preserve">Information </w:t>
      </w:r>
      <w:r w:rsidR="00574141" w:rsidRPr="00025F76">
        <w:rPr>
          <w:rFonts w:ascii="Calibri" w:hAnsi="Calibri" w:cs="Calibri"/>
          <w:b/>
          <w:bCs/>
          <w:color w:val="000000"/>
        </w:rPr>
        <w:t>m</w:t>
      </w:r>
      <w:r w:rsidRPr="00025F76">
        <w:rPr>
          <w:rFonts w:ascii="Calibri" w:hAnsi="Calibri" w:cs="Calibri"/>
          <w:b/>
          <w:bCs/>
          <w:color w:val="000000"/>
        </w:rPr>
        <w:t xml:space="preserve">anagement: </w:t>
      </w:r>
      <w:r w:rsidRPr="00025F76">
        <w:rPr>
          <w:rFonts w:ascii="Calibri" w:hAnsi="Calibri" w:cs="Calibri"/>
          <w:color w:val="000000"/>
        </w:rPr>
        <w:t xml:space="preserve">Management of each participant’s information ensures it is identifiable, accurately recorded, current and confidential. Each participant’s information is easily accessible to the participant and appropriately utilised by relevant workers. </w:t>
      </w:r>
    </w:p>
    <w:p w14:paraId="0F19A931" w14:textId="5889AFE7" w:rsidR="00B6728A" w:rsidRPr="00025F76" w:rsidRDefault="00B6728A" w:rsidP="0075595A">
      <w:pPr>
        <w:pStyle w:val="ListParagraph"/>
        <w:numPr>
          <w:ilvl w:val="0"/>
          <w:numId w:val="27"/>
        </w:numPr>
        <w:autoSpaceDE w:val="0"/>
        <w:autoSpaceDN w:val="0"/>
        <w:adjustRightInd w:val="0"/>
        <w:spacing w:before="120" w:after="120"/>
        <w:rPr>
          <w:rFonts w:ascii="Calibri" w:hAnsi="Calibri" w:cs="Calibri"/>
          <w:color w:val="000000"/>
        </w:rPr>
      </w:pPr>
      <w:r w:rsidRPr="00025F76">
        <w:rPr>
          <w:rFonts w:ascii="Calibri" w:hAnsi="Calibri" w:cs="Calibri"/>
          <w:b/>
          <w:bCs/>
          <w:color w:val="000000"/>
        </w:rPr>
        <w:t xml:space="preserve">Incident </w:t>
      </w:r>
      <w:r w:rsidR="00574141" w:rsidRPr="00025F76">
        <w:rPr>
          <w:rFonts w:ascii="Calibri" w:hAnsi="Calibri" w:cs="Calibri"/>
          <w:b/>
          <w:bCs/>
          <w:color w:val="000000"/>
        </w:rPr>
        <w:t>m</w:t>
      </w:r>
      <w:r w:rsidRPr="00025F76">
        <w:rPr>
          <w:rFonts w:ascii="Calibri" w:hAnsi="Calibri" w:cs="Calibri"/>
          <w:b/>
          <w:bCs/>
          <w:color w:val="000000"/>
        </w:rPr>
        <w:t xml:space="preserve">anagement: </w:t>
      </w:r>
      <w:r w:rsidRPr="00025F76">
        <w:rPr>
          <w:rFonts w:ascii="Calibri" w:hAnsi="Calibri" w:cs="Calibri"/>
          <w:color w:val="000000"/>
        </w:rPr>
        <w:t xml:space="preserve">Each participant is safeguarded by the provider’s incident management system, ensuring that incidents are acknowledged, respond to, </w:t>
      </w:r>
      <w:proofErr w:type="gramStart"/>
      <w:r w:rsidRPr="00025F76">
        <w:rPr>
          <w:rFonts w:ascii="Calibri" w:hAnsi="Calibri" w:cs="Calibri"/>
          <w:color w:val="000000"/>
        </w:rPr>
        <w:t>well-managed</w:t>
      </w:r>
      <w:proofErr w:type="gramEnd"/>
      <w:r w:rsidRPr="00025F76">
        <w:rPr>
          <w:rFonts w:ascii="Calibri" w:hAnsi="Calibri" w:cs="Calibri"/>
          <w:color w:val="000000"/>
        </w:rPr>
        <w:t xml:space="preserve"> and learned from. </w:t>
      </w:r>
    </w:p>
    <w:p w14:paraId="667C75AB" w14:textId="03991633" w:rsidR="00B6728A" w:rsidRPr="00025F76" w:rsidRDefault="00B6728A" w:rsidP="0075595A">
      <w:pPr>
        <w:pStyle w:val="ListParagraph"/>
        <w:numPr>
          <w:ilvl w:val="0"/>
          <w:numId w:val="27"/>
        </w:numPr>
        <w:autoSpaceDE w:val="0"/>
        <w:autoSpaceDN w:val="0"/>
        <w:adjustRightInd w:val="0"/>
        <w:spacing w:before="120" w:after="120"/>
        <w:rPr>
          <w:rFonts w:ascii="Calibri" w:hAnsi="Calibri" w:cs="Calibri"/>
          <w:color w:val="000000"/>
        </w:rPr>
      </w:pPr>
      <w:r w:rsidRPr="00025F76">
        <w:rPr>
          <w:rFonts w:ascii="Calibri" w:hAnsi="Calibri" w:cs="Calibri"/>
          <w:b/>
          <w:bCs/>
          <w:color w:val="000000"/>
        </w:rPr>
        <w:lastRenderedPageBreak/>
        <w:t xml:space="preserve">Management of </w:t>
      </w:r>
      <w:r w:rsidR="00574141" w:rsidRPr="00025F76">
        <w:rPr>
          <w:rFonts w:ascii="Calibri" w:hAnsi="Calibri" w:cs="Calibri"/>
          <w:b/>
          <w:bCs/>
          <w:color w:val="000000"/>
        </w:rPr>
        <w:t>m</w:t>
      </w:r>
      <w:r w:rsidRPr="00025F76">
        <w:rPr>
          <w:rFonts w:ascii="Calibri" w:hAnsi="Calibri" w:cs="Calibri"/>
          <w:b/>
          <w:bCs/>
          <w:color w:val="000000"/>
        </w:rPr>
        <w:t xml:space="preserve">edication: </w:t>
      </w:r>
      <w:r w:rsidRPr="00025F76">
        <w:rPr>
          <w:rFonts w:ascii="Calibri" w:hAnsi="Calibri" w:cs="Calibri"/>
          <w:color w:val="000000"/>
        </w:rPr>
        <w:t xml:space="preserve">Each participant requiring medication is confident their provider </w:t>
      </w:r>
      <w:proofErr w:type="gramStart"/>
      <w:r w:rsidRPr="00025F76">
        <w:rPr>
          <w:rFonts w:ascii="Calibri" w:hAnsi="Calibri" w:cs="Calibri"/>
          <w:color w:val="000000"/>
        </w:rPr>
        <w:t>administers,</w:t>
      </w:r>
      <w:proofErr w:type="gramEnd"/>
      <w:r w:rsidRPr="00025F76">
        <w:rPr>
          <w:rFonts w:ascii="Calibri" w:hAnsi="Calibri" w:cs="Calibri"/>
          <w:color w:val="000000"/>
        </w:rPr>
        <w:t xml:space="preserve"> stores and monitors the effects of their medication</w:t>
      </w:r>
      <w:r w:rsidR="0075595A" w:rsidRPr="00025F76">
        <w:rPr>
          <w:rFonts w:ascii="Calibri" w:hAnsi="Calibri" w:cs="Calibri"/>
          <w:color w:val="000000"/>
        </w:rPr>
        <w:t>,</w:t>
      </w:r>
      <w:r w:rsidRPr="00025F76">
        <w:rPr>
          <w:rFonts w:ascii="Calibri" w:hAnsi="Calibri" w:cs="Calibri"/>
          <w:color w:val="000000"/>
        </w:rPr>
        <w:t xml:space="preserve"> and works to prevent errors or incidents.</w:t>
      </w:r>
    </w:p>
    <w:p w14:paraId="69F98584" w14:textId="09DD025B" w:rsidR="004166F9" w:rsidRPr="00025F76" w:rsidRDefault="004166F9" w:rsidP="00164AB3">
      <w:pPr>
        <w:pStyle w:val="Heading1"/>
      </w:pPr>
      <w:r w:rsidRPr="00025F76">
        <w:t>References</w:t>
      </w:r>
    </w:p>
    <w:p w14:paraId="0EE7E3DA" w14:textId="6900A899" w:rsidR="005A68BD" w:rsidRPr="00025F76" w:rsidRDefault="005A68BD" w:rsidP="00574141">
      <w:pPr>
        <w:spacing w:before="120" w:after="120" w:line="276" w:lineRule="auto"/>
      </w:pPr>
      <w:r w:rsidRPr="00025F76">
        <w:t xml:space="preserve">Australian Commission on Safety and Quality in Health Care (2020). </w:t>
      </w:r>
      <w:hyperlink r:id="rId10" w:history="1">
        <w:r w:rsidR="00612896" w:rsidRPr="00025F76">
          <w:rPr>
            <w:rStyle w:val="Hyperlink"/>
            <w:i/>
          </w:rPr>
          <w:t>Australian Charter of Healthcare Rights (second edition)</w:t>
        </w:r>
      </w:hyperlink>
      <w:r w:rsidR="00612896" w:rsidRPr="00025F76">
        <w:t xml:space="preserve">. </w:t>
      </w:r>
    </w:p>
    <w:p w14:paraId="711CD6A4" w14:textId="0E265D68" w:rsidR="005A68BD" w:rsidRPr="00025F76" w:rsidRDefault="005A68BD" w:rsidP="00574141">
      <w:pPr>
        <w:spacing w:before="120" w:after="120" w:line="276" w:lineRule="auto"/>
      </w:pPr>
      <w:r w:rsidRPr="00025F76">
        <w:t xml:space="preserve">Australian Commission on Safety and Quality in Health Care (2019). </w:t>
      </w:r>
      <w:hyperlink r:id="rId11" w:history="1">
        <w:r w:rsidRPr="00025F76">
          <w:rPr>
            <w:rStyle w:val="Hyperlink"/>
            <w:i/>
          </w:rPr>
          <w:t>National Safety and Quality Health Service (NSQHS) Standards</w:t>
        </w:r>
      </w:hyperlink>
      <w:r w:rsidR="00612896" w:rsidRPr="00025F76">
        <w:rPr>
          <w:iCs/>
        </w:rPr>
        <w:t>.</w:t>
      </w:r>
      <w:r w:rsidRPr="00025F76">
        <w:t xml:space="preserve"> </w:t>
      </w:r>
    </w:p>
    <w:p w14:paraId="19EB8D52" w14:textId="7AB02BFD" w:rsidR="00F94CB0" w:rsidRPr="00025F76" w:rsidRDefault="00F94CB0" w:rsidP="00574141">
      <w:pPr>
        <w:spacing w:before="120" w:after="120" w:line="276" w:lineRule="auto"/>
      </w:pPr>
      <w:r w:rsidRPr="00025F76">
        <w:t xml:space="preserve">Australian Institute of Health and Welfare (2017). </w:t>
      </w:r>
      <w:hyperlink r:id="rId12" w:history="1">
        <w:r w:rsidRPr="00025F76">
          <w:rPr>
            <w:rStyle w:val="Hyperlink"/>
            <w:i/>
          </w:rPr>
          <w:t>Access to health services by Australians with disability</w:t>
        </w:r>
      </w:hyperlink>
      <w:r w:rsidRPr="00025F76">
        <w:rPr>
          <w:i/>
        </w:rPr>
        <w:t>.</w:t>
      </w:r>
      <w:r w:rsidRPr="00025F76">
        <w:t xml:space="preserve"> </w:t>
      </w:r>
    </w:p>
    <w:p w14:paraId="7B172ACE" w14:textId="026E8588" w:rsidR="005A68BD" w:rsidRPr="00025F76" w:rsidRDefault="005A68BD" w:rsidP="00574141">
      <w:pPr>
        <w:spacing w:before="120" w:after="120" w:line="276" w:lineRule="auto"/>
      </w:pPr>
      <w:r w:rsidRPr="00025F76">
        <w:t xml:space="preserve">NDIS Quality &amp; Safeguards Commission (2020). </w:t>
      </w:r>
      <w:hyperlink r:id="rId13" w:history="1">
        <w:r w:rsidRPr="00025F76">
          <w:rPr>
            <w:rStyle w:val="Hyperlink"/>
            <w:i/>
          </w:rPr>
          <w:t>NDIS Practice Standards and Quality Indicators</w:t>
        </w:r>
      </w:hyperlink>
      <w:r w:rsidRPr="00025F76">
        <w:rPr>
          <w:i/>
        </w:rPr>
        <w:t>.</w:t>
      </w:r>
      <w:r w:rsidRPr="00025F76">
        <w:t xml:space="preserve"> </w:t>
      </w:r>
    </w:p>
    <w:p w14:paraId="2119A19B" w14:textId="220A3C41" w:rsidR="001E5690" w:rsidRPr="00025F76" w:rsidRDefault="001E5690" w:rsidP="00574141">
      <w:pPr>
        <w:spacing w:before="120" w:after="120" w:line="276" w:lineRule="auto"/>
        <w:rPr>
          <w:szCs w:val="22"/>
        </w:rPr>
      </w:pPr>
      <w:r w:rsidRPr="00025F76">
        <w:t xml:space="preserve">NSW </w:t>
      </w:r>
      <w:r w:rsidR="00F61F7A" w:rsidRPr="00025F76">
        <w:t>Agency for Clinical Innovation</w:t>
      </w:r>
      <w:r w:rsidRPr="00025F76">
        <w:t xml:space="preserve"> (2017).</w:t>
      </w:r>
      <w:r w:rsidRPr="00025F76">
        <w:rPr>
          <w:i/>
        </w:rPr>
        <w:t xml:space="preserve"> </w:t>
      </w:r>
      <w:hyperlink r:id="rId14" w:history="1">
        <w:r w:rsidRPr="00025F76">
          <w:rPr>
            <w:rStyle w:val="Hyperlink"/>
            <w:i/>
          </w:rPr>
          <w:t>Building Capability in NSW health services for people with in</w:t>
        </w:r>
        <w:r w:rsidRPr="00025F76">
          <w:rPr>
            <w:rStyle w:val="Hyperlink"/>
            <w:i/>
            <w:szCs w:val="22"/>
          </w:rPr>
          <w:t xml:space="preserve">tellectual disability: </w:t>
        </w:r>
        <w:r w:rsidR="0075595A" w:rsidRPr="00025F76">
          <w:rPr>
            <w:rStyle w:val="Hyperlink"/>
            <w:i/>
            <w:szCs w:val="22"/>
          </w:rPr>
          <w:t>T</w:t>
        </w:r>
        <w:r w:rsidRPr="00025F76">
          <w:rPr>
            <w:rStyle w:val="Hyperlink"/>
            <w:i/>
            <w:szCs w:val="22"/>
          </w:rPr>
          <w:t>he Essentials</w:t>
        </w:r>
      </w:hyperlink>
      <w:r w:rsidRPr="00025F76">
        <w:rPr>
          <w:i/>
          <w:szCs w:val="22"/>
        </w:rPr>
        <w:t>.</w:t>
      </w:r>
      <w:r w:rsidRPr="00025F76">
        <w:rPr>
          <w:szCs w:val="22"/>
        </w:rPr>
        <w:t xml:space="preserve"> </w:t>
      </w:r>
    </w:p>
    <w:p w14:paraId="6A975C67" w14:textId="191A1830" w:rsidR="00DD501B" w:rsidRPr="00025F76" w:rsidRDefault="00DD501B" w:rsidP="00574141">
      <w:pPr>
        <w:spacing w:before="120" w:after="120" w:line="276" w:lineRule="auto"/>
        <w:rPr>
          <w:szCs w:val="22"/>
        </w:rPr>
      </w:pPr>
      <w:r w:rsidRPr="00025F76">
        <w:rPr>
          <w:szCs w:val="22"/>
        </w:rPr>
        <w:t xml:space="preserve">NSW Health (2017). </w:t>
      </w:r>
      <w:hyperlink r:id="rId15" w:history="1">
        <w:r w:rsidRPr="00025F76">
          <w:rPr>
            <w:rStyle w:val="Hyperlink"/>
            <w:i/>
            <w:szCs w:val="22"/>
          </w:rPr>
          <w:t>Responding to Needs of People with Disability during Hospitalisation</w:t>
        </w:r>
      </w:hyperlink>
      <w:r w:rsidRPr="00025F76">
        <w:rPr>
          <w:i/>
          <w:szCs w:val="22"/>
        </w:rPr>
        <w:t>.</w:t>
      </w:r>
      <w:r w:rsidRPr="00025F76">
        <w:rPr>
          <w:szCs w:val="22"/>
        </w:rPr>
        <w:t xml:space="preserve"> </w:t>
      </w:r>
    </w:p>
    <w:p w14:paraId="5744EF19" w14:textId="46A48C9C" w:rsidR="001E5690" w:rsidRPr="00025F76" w:rsidRDefault="001E5690" w:rsidP="00574141">
      <w:pPr>
        <w:spacing w:before="120" w:after="120" w:line="276" w:lineRule="auto"/>
        <w:rPr>
          <w:szCs w:val="22"/>
        </w:rPr>
      </w:pPr>
      <w:r w:rsidRPr="00025F76">
        <w:rPr>
          <w:szCs w:val="22"/>
        </w:rPr>
        <w:t xml:space="preserve">NSW Ministry of Health (2013). </w:t>
      </w:r>
      <w:hyperlink r:id="rId16" w:history="1">
        <w:r w:rsidRPr="00025F76">
          <w:rPr>
            <w:rStyle w:val="Hyperlink"/>
            <w:i/>
            <w:szCs w:val="22"/>
          </w:rPr>
          <w:t>NSW Health &amp; Ageing and Disability and Home Care (ADHC) Joint Guideline</w:t>
        </w:r>
      </w:hyperlink>
      <w:r w:rsidRPr="00025F76">
        <w:rPr>
          <w:szCs w:val="22"/>
        </w:rPr>
        <w:t xml:space="preserve">. </w:t>
      </w:r>
    </w:p>
    <w:p w14:paraId="7EB01554" w14:textId="3B81E2DB" w:rsidR="00CB4A38" w:rsidRPr="00025F76" w:rsidRDefault="00CB4A38" w:rsidP="00574141">
      <w:pPr>
        <w:spacing w:before="120" w:after="120" w:line="276" w:lineRule="auto"/>
        <w:rPr>
          <w:rStyle w:val="Hyperlink"/>
          <w:bCs/>
          <w:szCs w:val="22"/>
        </w:rPr>
      </w:pPr>
      <w:proofErr w:type="spellStart"/>
      <w:r w:rsidRPr="00025F76">
        <w:rPr>
          <w:szCs w:val="22"/>
        </w:rPr>
        <w:t>Trollor</w:t>
      </w:r>
      <w:proofErr w:type="spellEnd"/>
      <w:r w:rsidRPr="00025F76">
        <w:rPr>
          <w:szCs w:val="22"/>
        </w:rPr>
        <w:t xml:space="preserve">, J. &amp; Salomon, C. (2019). </w:t>
      </w:r>
      <w:hyperlink r:id="rId17" w:history="1">
        <w:r w:rsidRPr="00025F76">
          <w:rPr>
            <w:rStyle w:val="Hyperlink"/>
            <w:i/>
            <w:szCs w:val="22"/>
          </w:rPr>
          <w:t>A scoping review of causes and contributors to deaths of people with disability in Australia: Findings</w:t>
        </w:r>
      </w:hyperlink>
      <w:r w:rsidRPr="00025F76">
        <w:rPr>
          <w:i/>
          <w:szCs w:val="22"/>
        </w:rPr>
        <w:t>.</w:t>
      </w:r>
      <w:r w:rsidRPr="00025F76">
        <w:rPr>
          <w:szCs w:val="22"/>
        </w:rPr>
        <w:t xml:space="preserve"> Faculty of Medicine, </w:t>
      </w:r>
      <w:proofErr w:type="gramStart"/>
      <w:r w:rsidRPr="00025F76">
        <w:rPr>
          <w:szCs w:val="22"/>
        </w:rPr>
        <w:t>The</w:t>
      </w:r>
      <w:proofErr w:type="gramEnd"/>
      <w:r w:rsidRPr="00025F76">
        <w:rPr>
          <w:szCs w:val="22"/>
        </w:rPr>
        <w:t xml:space="preserve"> Department of Developmental Disability Neuropsychiatry 3DN.</w:t>
      </w:r>
      <w:r w:rsidRPr="00025F76">
        <w:rPr>
          <w:b/>
          <w:szCs w:val="22"/>
        </w:rPr>
        <w:t xml:space="preserve"> </w:t>
      </w:r>
    </w:p>
    <w:p w14:paraId="52EF5FAF" w14:textId="5FC205A4" w:rsidR="0032576D" w:rsidRPr="00025F76" w:rsidRDefault="0032576D" w:rsidP="00574141">
      <w:pPr>
        <w:spacing w:before="120" w:after="120" w:line="276" w:lineRule="auto"/>
        <w:rPr>
          <w:szCs w:val="22"/>
        </w:rPr>
      </w:pPr>
      <w:r w:rsidRPr="00025F76">
        <w:rPr>
          <w:szCs w:val="22"/>
        </w:rPr>
        <w:t xml:space="preserve">Office of the Public Advocate (QLD). (2016). </w:t>
      </w:r>
      <w:hyperlink r:id="rId18" w:history="1">
        <w:proofErr w:type="gramStart"/>
        <w:r w:rsidRPr="00025F76">
          <w:rPr>
            <w:rStyle w:val="Hyperlink"/>
            <w:szCs w:val="22"/>
          </w:rPr>
          <w:t>Upholding</w:t>
        </w:r>
        <w:proofErr w:type="gramEnd"/>
        <w:r w:rsidRPr="00025F76">
          <w:rPr>
            <w:rStyle w:val="Hyperlink"/>
            <w:szCs w:val="22"/>
          </w:rPr>
          <w:t xml:space="preserve"> the right to life and health: A review of the deaths in care of people with disability in Queensland. A systematic advocacy report</w:t>
        </w:r>
      </w:hyperlink>
      <w:r w:rsidRPr="00025F76">
        <w:rPr>
          <w:szCs w:val="22"/>
        </w:rPr>
        <w:t xml:space="preserve">. Department of Justice and Attorney-General, </w:t>
      </w:r>
      <w:proofErr w:type="gramStart"/>
      <w:r w:rsidRPr="00025F76">
        <w:rPr>
          <w:szCs w:val="22"/>
        </w:rPr>
        <w:t>The</w:t>
      </w:r>
      <w:proofErr w:type="gramEnd"/>
      <w:r w:rsidRPr="00025F76">
        <w:rPr>
          <w:szCs w:val="22"/>
        </w:rPr>
        <w:t xml:space="preserve"> State of Queensland.</w:t>
      </w:r>
      <w:r w:rsidR="00F71C1B" w:rsidRPr="00025F76" w:rsidDel="00F71C1B">
        <w:rPr>
          <w:szCs w:val="22"/>
        </w:rPr>
        <w:t xml:space="preserve"> </w:t>
      </w:r>
    </w:p>
    <w:p w14:paraId="52179829" w14:textId="2E2C7D92" w:rsidR="001E5690" w:rsidRPr="00025F76" w:rsidRDefault="001E5690" w:rsidP="00574141">
      <w:pPr>
        <w:spacing w:before="120" w:after="120" w:line="276" w:lineRule="auto"/>
        <w:rPr>
          <w:szCs w:val="22"/>
        </w:rPr>
      </w:pPr>
      <w:r w:rsidRPr="00025F76">
        <w:rPr>
          <w:szCs w:val="22"/>
        </w:rPr>
        <w:t xml:space="preserve">Western Australian Department of Health (2016). </w:t>
      </w:r>
      <w:hyperlink r:id="rId19" w:history="1">
        <w:r w:rsidRPr="00025F76">
          <w:rPr>
            <w:rStyle w:val="Hyperlink"/>
            <w:i/>
            <w:szCs w:val="22"/>
          </w:rPr>
          <w:t>Hospital Stay Guideline for Hospitals and Disability Service Organisations</w:t>
        </w:r>
      </w:hyperlink>
      <w:r w:rsidRPr="00025F76">
        <w:rPr>
          <w:szCs w:val="22"/>
        </w:rPr>
        <w:t xml:space="preserve">. Perth: Health Networks Directorate, Western Australian Department of Health. </w:t>
      </w:r>
    </w:p>
    <w:p w14:paraId="31413B0B" w14:textId="77D9405A" w:rsidR="000E3CF5" w:rsidRPr="00025F76" w:rsidRDefault="000E3CF5" w:rsidP="00574141">
      <w:pPr>
        <w:spacing w:before="120" w:after="120" w:line="276" w:lineRule="auto"/>
        <w:rPr>
          <w:rStyle w:val="Hyperlink"/>
          <w:bCs/>
          <w:szCs w:val="22"/>
        </w:rPr>
      </w:pPr>
      <w:r w:rsidRPr="00025F76">
        <w:rPr>
          <w:szCs w:val="22"/>
        </w:rPr>
        <w:t>United Nations (</w:t>
      </w:r>
      <w:proofErr w:type="spellStart"/>
      <w:r w:rsidRPr="00025F76">
        <w:rPr>
          <w:szCs w:val="22"/>
        </w:rPr>
        <w:t>n.d.</w:t>
      </w:r>
      <w:proofErr w:type="spellEnd"/>
      <w:r w:rsidRPr="00025F76">
        <w:rPr>
          <w:szCs w:val="22"/>
        </w:rPr>
        <w:t xml:space="preserve">) </w:t>
      </w:r>
      <w:hyperlink r:id="rId20" w:history="1">
        <w:r w:rsidRPr="00025F76">
          <w:rPr>
            <w:rStyle w:val="Hyperlink"/>
            <w:rFonts w:cs="Arial"/>
            <w:i/>
            <w:szCs w:val="22"/>
          </w:rPr>
          <w:t>Article 25 – Health in the Convention on the Rights of Persons with Disabilities (UNCRPD)</w:t>
        </w:r>
      </w:hyperlink>
      <w:r w:rsidR="00612896" w:rsidRPr="00025F76">
        <w:rPr>
          <w:rFonts w:cs="Arial"/>
          <w:iCs/>
          <w:color w:val="000000"/>
          <w:szCs w:val="22"/>
        </w:rPr>
        <w:t>.</w:t>
      </w:r>
      <w:r w:rsidRPr="00025F76">
        <w:rPr>
          <w:szCs w:val="22"/>
        </w:rPr>
        <w:t xml:space="preserve"> </w:t>
      </w:r>
    </w:p>
    <w:p w14:paraId="59C98D02" w14:textId="1D4C34DC" w:rsidR="00CB4A38" w:rsidRPr="00025F76" w:rsidRDefault="00CB4A38" w:rsidP="00574141">
      <w:pPr>
        <w:spacing w:before="120" w:after="120" w:line="276" w:lineRule="auto"/>
        <w:rPr>
          <w:szCs w:val="22"/>
        </w:rPr>
      </w:pPr>
      <w:r w:rsidRPr="00025F76">
        <w:rPr>
          <w:szCs w:val="22"/>
        </w:rPr>
        <w:t xml:space="preserve">World Health Organisation (2019). </w:t>
      </w:r>
      <w:hyperlink r:id="rId21" w:history="1">
        <w:r w:rsidRPr="00025F76">
          <w:rPr>
            <w:rStyle w:val="Hyperlink"/>
            <w:i/>
            <w:szCs w:val="22"/>
          </w:rPr>
          <w:t>Medication Safety in Transitions of Care</w:t>
        </w:r>
      </w:hyperlink>
      <w:r w:rsidRPr="00025F76">
        <w:rPr>
          <w:i/>
          <w:szCs w:val="22"/>
        </w:rPr>
        <w:t xml:space="preserve">. </w:t>
      </w:r>
    </w:p>
    <w:p w14:paraId="1E71369E" w14:textId="537E9482" w:rsidR="00CB4A38" w:rsidRPr="00025F76" w:rsidRDefault="00F1656F" w:rsidP="00574141">
      <w:pPr>
        <w:spacing w:before="120" w:after="120" w:line="276" w:lineRule="auto"/>
        <w:rPr>
          <w:szCs w:val="22"/>
        </w:rPr>
      </w:pPr>
      <w:r w:rsidRPr="00025F76">
        <w:rPr>
          <w:szCs w:val="22"/>
        </w:rPr>
        <w:t xml:space="preserve">World Health Organisation (2016). </w:t>
      </w:r>
      <w:hyperlink r:id="rId22" w:history="1">
        <w:r w:rsidRPr="00025F76">
          <w:rPr>
            <w:rStyle w:val="Hyperlink"/>
            <w:i/>
            <w:szCs w:val="22"/>
          </w:rPr>
          <w:t>Transitions of Care: Technical Series on Safer Primary Care</w:t>
        </w:r>
      </w:hyperlink>
      <w:r w:rsidRPr="00025F76">
        <w:rPr>
          <w:szCs w:val="22"/>
        </w:rPr>
        <w:t xml:space="preserve">. </w:t>
      </w:r>
    </w:p>
    <w:p w14:paraId="3663FB07" w14:textId="77777777" w:rsidR="00226514" w:rsidRPr="00025F76" w:rsidRDefault="00226514" w:rsidP="00226514">
      <w:pPr>
        <w:pStyle w:val="Heading1"/>
        <w:pBdr>
          <w:top w:val="single" w:sz="36" w:space="1" w:color="5F2E74" w:themeColor="accent1"/>
        </w:pBdr>
        <w:rPr>
          <w:rFonts w:eastAsia="Calibri" w:cs="Calibri"/>
        </w:rPr>
      </w:pPr>
      <w:r w:rsidRPr="00025F76">
        <w:t>General enquiries</w:t>
      </w:r>
    </w:p>
    <w:p w14:paraId="34A2196E" w14:textId="29BF6C65" w:rsidR="00226514" w:rsidRPr="00025F76" w:rsidRDefault="00226514" w:rsidP="00970A65">
      <w:pPr>
        <w:pStyle w:val="Body"/>
        <w:spacing w:after="120" w:line="276" w:lineRule="auto"/>
        <w:ind w:right="-34"/>
        <w:rPr>
          <w:sz w:val="22"/>
          <w:szCs w:val="22"/>
          <w:lang w:val="en-AU"/>
        </w:rPr>
      </w:pPr>
      <w:r w:rsidRPr="00025F76">
        <w:rPr>
          <w:b/>
          <w:bCs/>
          <w:color w:val="auto"/>
          <w:sz w:val="22"/>
          <w:szCs w:val="22"/>
          <w:lang w:val="en-AU"/>
        </w:rPr>
        <w:t xml:space="preserve">Call: 1800 035 544 </w:t>
      </w:r>
      <w:r w:rsidRPr="00025F76">
        <w:rPr>
          <w:sz w:val="22"/>
          <w:szCs w:val="22"/>
          <w:lang w:val="en-AU"/>
        </w:rPr>
        <w:t xml:space="preserve">(free call from landlines). Our contact centre is open 9.00am to 4.30pm in the NT, </w:t>
      </w:r>
      <w:r w:rsidR="00970A65" w:rsidRPr="00025F76">
        <w:rPr>
          <w:sz w:val="22"/>
          <w:szCs w:val="22"/>
          <w:lang w:val="en-AU"/>
        </w:rPr>
        <w:t xml:space="preserve">and </w:t>
      </w:r>
      <w:r w:rsidRPr="00025F76">
        <w:rPr>
          <w:sz w:val="22"/>
          <w:szCs w:val="22"/>
          <w:lang w:val="en-AU"/>
        </w:rPr>
        <w:t xml:space="preserve">9.00am to 5.00pm in </w:t>
      </w:r>
      <w:r w:rsidR="00970A65" w:rsidRPr="00025F76">
        <w:rPr>
          <w:sz w:val="22"/>
          <w:szCs w:val="22"/>
          <w:lang w:val="en-AU"/>
        </w:rPr>
        <w:t>other states and territories</w:t>
      </w:r>
      <w:r w:rsidRPr="00025F76">
        <w:rPr>
          <w:sz w:val="22"/>
          <w:szCs w:val="22"/>
          <w:lang w:val="en-AU"/>
        </w:rPr>
        <w:t xml:space="preserve"> Monday to Friday, excluding public holidays. </w:t>
      </w:r>
    </w:p>
    <w:p w14:paraId="49B666C1" w14:textId="77777777" w:rsidR="00226514" w:rsidRPr="00025F76" w:rsidRDefault="00226514" w:rsidP="00226514">
      <w:pPr>
        <w:pStyle w:val="Body"/>
        <w:spacing w:after="120" w:line="276" w:lineRule="auto"/>
        <w:ind w:right="-34"/>
        <w:jc w:val="both"/>
        <w:rPr>
          <w:sz w:val="22"/>
          <w:szCs w:val="22"/>
          <w:lang w:val="en-AU"/>
        </w:rPr>
      </w:pPr>
      <w:r w:rsidRPr="00025F76">
        <w:rPr>
          <w:b/>
          <w:sz w:val="22"/>
          <w:szCs w:val="22"/>
          <w:lang w:val="en-AU"/>
        </w:rPr>
        <w:t>Email</w:t>
      </w:r>
      <w:r w:rsidRPr="00025F76">
        <w:rPr>
          <w:sz w:val="22"/>
          <w:szCs w:val="22"/>
          <w:lang w:val="en-AU"/>
        </w:rPr>
        <w:t xml:space="preserve">: </w:t>
      </w:r>
      <w:hyperlink r:id="rId23" w:history="1">
        <w:r w:rsidRPr="00025F76">
          <w:rPr>
            <w:rStyle w:val="Hyperlink"/>
            <w:sz w:val="22"/>
            <w:szCs w:val="22"/>
            <w:lang w:val="en-AU"/>
          </w:rPr>
          <w:t>contactcentre@ndiscommission.gov.au</w:t>
        </w:r>
      </w:hyperlink>
      <w:r w:rsidRPr="00025F76">
        <w:rPr>
          <w:sz w:val="22"/>
          <w:szCs w:val="22"/>
          <w:lang w:val="en-AU"/>
        </w:rPr>
        <w:t xml:space="preserve"> </w:t>
      </w:r>
    </w:p>
    <w:p w14:paraId="7590D320" w14:textId="77777777" w:rsidR="00226514" w:rsidRPr="00025F76" w:rsidRDefault="00226514" w:rsidP="00226514">
      <w:pPr>
        <w:pStyle w:val="Body"/>
        <w:spacing w:after="120" w:line="276" w:lineRule="auto"/>
        <w:ind w:right="-34"/>
        <w:jc w:val="both"/>
        <w:rPr>
          <w:lang w:val="en-AU"/>
        </w:rPr>
      </w:pPr>
      <w:r w:rsidRPr="00025F76">
        <w:rPr>
          <w:b/>
          <w:sz w:val="22"/>
          <w:szCs w:val="22"/>
          <w:lang w:val="en-AU"/>
        </w:rPr>
        <w:t>Website</w:t>
      </w:r>
      <w:r w:rsidRPr="00025F76">
        <w:rPr>
          <w:sz w:val="22"/>
          <w:szCs w:val="22"/>
          <w:lang w:val="en-AU"/>
        </w:rPr>
        <w:t xml:space="preserve">: </w:t>
      </w:r>
      <w:hyperlink r:id="rId24" w:history="1">
        <w:r w:rsidRPr="00025F76">
          <w:rPr>
            <w:rStyle w:val="Hyperlink"/>
            <w:sz w:val="22"/>
            <w:szCs w:val="22"/>
            <w:lang w:val="en-AU"/>
          </w:rPr>
          <w:t>www.ndiscommission.gov.au</w:t>
        </w:r>
      </w:hyperlink>
    </w:p>
    <w:sectPr w:rsidR="00226514" w:rsidRPr="00025F76" w:rsidSect="00362AB6">
      <w:headerReference w:type="default" r:id="rId25"/>
      <w:footerReference w:type="default" r:id="rId26"/>
      <w:headerReference w:type="first" r:id="rId27"/>
      <w:footerReference w:type="first" r:id="rId28"/>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12EC8" w14:textId="77777777" w:rsidR="000D0D4A" w:rsidRDefault="000D0D4A" w:rsidP="008E21DE">
      <w:pPr>
        <w:spacing w:before="0" w:after="0"/>
      </w:pPr>
      <w:r>
        <w:separator/>
      </w:r>
    </w:p>
  </w:endnote>
  <w:endnote w:type="continuationSeparator" w:id="0">
    <w:p w14:paraId="0E5C194B" w14:textId="77777777" w:rsidR="000D0D4A" w:rsidRDefault="000D0D4A"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5C9A7" w14:textId="378A2BFE" w:rsidR="00FD66D7" w:rsidRPr="00226514" w:rsidRDefault="00226514" w:rsidP="00226514">
    <w:pPr>
      <w:pStyle w:val="Footer"/>
      <w:pBdr>
        <w:top w:val="single" w:sz="4" w:space="1" w:color="auto"/>
      </w:pBdr>
      <w:jc w:val="both"/>
    </w:pPr>
    <w:r>
      <w:t>Practice Alert: Transitions of care between disability services and hospitals</w:t>
    </w:r>
    <w:r>
      <w:tab/>
      <w:t xml:space="preserve">Page </w:t>
    </w:r>
    <w:r>
      <w:fldChar w:fldCharType="begin"/>
    </w:r>
    <w:r>
      <w:instrText xml:space="preserve"> PAGE   \* MERGEFORMAT </w:instrText>
    </w:r>
    <w:r>
      <w:fldChar w:fldCharType="separate"/>
    </w:r>
    <w:r w:rsidR="00FB2D49">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98C9" w14:textId="37CD1934" w:rsidR="008E21DE" w:rsidRPr="00226514" w:rsidRDefault="00226514" w:rsidP="00226514">
    <w:pPr>
      <w:pStyle w:val="Footer"/>
      <w:pBdr>
        <w:top w:val="single" w:sz="4" w:space="1" w:color="auto"/>
      </w:pBdr>
      <w:jc w:val="both"/>
    </w:pPr>
    <w:r>
      <w:t>Practice Alert: Transitions of care between disability services and hospitals</w:t>
    </w:r>
    <w:r>
      <w:tab/>
      <w:t xml:space="preserve">Page </w:t>
    </w:r>
    <w:r>
      <w:fldChar w:fldCharType="begin"/>
    </w:r>
    <w:r>
      <w:instrText xml:space="preserve"> PAGE   \* MERGEFORMAT </w:instrText>
    </w:r>
    <w:r>
      <w:fldChar w:fldCharType="separate"/>
    </w:r>
    <w:r w:rsidR="00FB2D4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0F454" w14:textId="77777777" w:rsidR="000D0D4A" w:rsidRDefault="000D0D4A" w:rsidP="008E21DE">
      <w:pPr>
        <w:spacing w:before="0" w:after="0"/>
      </w:pPr>
      <w:r>
        <w:separator/>
      </w:r>
    </w:p>
  </w:footnote>
  <w:footnote w:type="continuationSeparator" w:id="0">
    <w:p w14:paraId="14CCFE1C" w14:textId="77777777" w:rsidR="000D0D4A" w:rsidRDefault="000D0D4A"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ACFD" w14:textId="39E96D66" w:rsidR="008B7938" w:rsidRDefault="008B7938">
    <w:pPr>
      <w:pStyle w:val="Header"/>
    </w:pPr>
  </w:p>
  <w:p w14:paraId="79E621ED" w14:textId="77777777" w:rsidR="00680A20" w:rsidRDefault="00362AB6">
    <w:pPr>
      <w:pStyle w:val="Header"/>
    </w:pPr>
    <w:r>
      <w:rPr>
        <w:b w:val="0"/>
        <w:bCs/>
        <w:noProof/>
        <w:lang w:eastAsia="zh-CN" w:bidi="hi-IN"/>
      </w:rPr>
      <mc:AlternateContent>
        <mc:Choice Requires="wps">
          <w:drawing>
            <wp:inline distT="0" distB="0" distL="0" distR="0" wp14:anchorId="4A21FE4F" wp14:editId="1525F3FE">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4B359B"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F4FE" w14:textId="3CCA6F3E" w:rsidR="00182709" w:rsidRDefault="00182709">
    <w:pPr>
      <w:pStyle w:val="Header"/>
    </w:pPr>
    <w:r>
      <w:rPr>
        <w:noProof/>
        <w:lang w:eastAsia="en-AU"/>
      </w:rPr>
      <w:ptab w:relativeTo="margin" w:alignment="left" w:leader="none"/>
    </w:r>
    <w:r w:rsidR="00EE737C">
      <w:rPr>
        <w:noProof/>
        <w:lang w:eastAsia="zh-CN" w:bidi="hi-IN"/>
      </w:rPr>
      <w:drawing>
        <wp:inline distT="0" distB="0" distL="0" distR="0" wp14:anchorId="2422357A" wp14:editId="4F6A60C3">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AB3"/>
    <w:multiLevelType w:val="hybridMultilevel"/>
    <w:tmpl w:val="58D66736"/>
    <w:lvl w:ilvl="0" w:tplc="224642D0">
      <w:numFmt w:val="bullet"/>
      <w:lvlText w:val="•"/>
      <w:lvlJc w:val="left"/>
      <w:pPr>
        <w:ind w:left="720" w:hanging="360"/>
      </w:pPr>
      <w:rPr>
        <w:rFonts w:ascii="Calibri" w:eastAsia="Times New Roman" w:hAnsi="Calibri" w:cs="Calibri"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E2080F"/>
    <w:multiLevelType w:val="hybridMultilevel"/>
    <w:tmpl w:val="B114DF06"/>
    <w:lvl w:ilvl="0" w:tplc="35FEC1EC">
      <w:start w:val="1"/>
      <w:numFmt w:val="bullet"/>
      <w:lvlText w:val=""/>
      <w:lvlJc w:val="left"/>
      <w:pPr>
        <w:ind w:left="862" w:hanging="360"/>
      </w:pPr>
      <w:rPr>
        <w:rFonts w:ascii="Symbol" w:hAnsi="Symbol" w:hint="default"/>
        <w:color w:val="962C8B" w:themeColor="accent2"/>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833463"/>
    <w:multiLevelType w:val="hybridMultilevel"/>
    <w:tmpl w:val="5BCAB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3B63980"/>
    <w:multiLevelType w:val="hybridMultilevel"/>
    <w:tmpl w:val="2CBA37E8"/>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3F3AD3"/>
    <w:multiLevelType w:val="hybridMultilevel"/>
    <w:tmpl w:val="ECFADDAA"/>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1E4445"/>
    <w:multiLevelType w:val="hybridMultilevel"/>
    <w:tmpl w:val="7C02C624"/>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545FEE"/>
    <w:multiLevelType w:val="hybridMultilevel"/>
    <w:tmpl w:val="F95A9E3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34BD742F"/>
    <w:multiLevelType w:val="hybridMultilevel"/>
    <w:tmpl w:val="E3B40ACC"/>
    <w:lvl w:ilvl="0" w:tplc="35FEC1EC">
      <w:start w:val="1"/>
      <w:numFmt w:val="bullet"/>
      <w:lvlText w:val=""/>
      <w:lvlJc w:val="left"/>
      <w:pPr>
        <w:ind w:left="360" w:hanging="360"/>
      </w:pPr>
      <w:rPr>
        <w:rFonts w:ascii="Symbol" w:hAnsi="Symbol" w:hint="default"/>
        <w:color w:val="962C8B"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554D59"/>
    <w:multiLevelType w:val="hybridMultilevel"/>
    <w:tmpl w:val="2198064E"/>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0A47ED"/>
    <w:multiLevelType w:val="hybridMultilevel"/>
    <w:tmpl w:val="38C2B40E"/>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615703"/>
    <w:multiLevelType w:val="multilevel"/>
    <w:tmpl w:val="803CF862"/>
    <w:numStyleLink w:val="List1Numbered"/>
  </w:abstractNum>
  <w:abstractNum w:abstractNumId="19" w15:restartNumberingAfterBreak="0">
    <w:nsid w:val="61391290"/>
    <w:multiLevelType w:val="hybridMultilevel"/>
    <w:tmpl w:val="B7E684CC"/>
    <w:lvl w:ilvl="0" w:tplc="35FEC1EC">
      <w:start w:val="1"/>
      <w:numFmt w:val="bullet"/>
      <w:lvlText w:val=""/>
      <w:lvlJc w:val="left"/>
      <w:pPr>
        <w:ind w:left="1077" w:hanging="360"/>
      </w:pPr>
      <w:rPr>
        <w:rFonts w:ascii="Symbol" w:hAnsi="Symbol" w:hint="default"/>
        <w:color w:val="962C8B" w:themeColor="accent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BAD0EFA"/>
    <w:multiLevelType w:val="hybridMultilevel"/>
    <w:tmpl w:val="96F25BB2"/>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4F423B"/>
    <w:multiLevelType w:val="multilevel"/>
    <w:tmpl w:val="4A7CCC2C"/>
    <w:numStyleLink w:val="DefaultBullets"/>
  </w:abstractNum>
  <w:abstractNum w:abstractNumId="22" w15:restartNumberingAfterBreak="0">
    <w:nsid w:val="707C09CB"/>
    <w:multiLevelType w:val="hybridMultilevel"/>
    <w:tmpl w:val="CE08A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AA286C"/>
    <w:multiLevelType w:val="hybridMultilevel"/>
    <w:tmpl w:val="DB5CECAA"/>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0B67C4"/>
    <w:multiLevelType w:val="multilevel"/>
    <w:tmpl w:val="FE688822"/>
    <w:numStyleLink w:val="BoxedBullets"/>
  </w:abstractNum>
  <w:abstractNum w:abstractNumId="26" w15:restartNumberingAfterBreak="0">
    <w:nsid w:val="7948237E"/>
    <w:multiLevelType w:val="hybridMultilevel"/>
    <w:tmpl w:val="8832547C"/>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5"/>
  </w:num>
  <w:num w:numId="4">
    <w:abstractNumId w:val="15"/>
  </w:num>
  <w:num w:numId="5">
    <w:abstractNumId w:val="5"/>
  </w:num>
  <w:num w:numId="6">
    <w:abstractNumId w:val="4"/>
  </w:num>
  <w:num w:numId="7">
    <w:abstractNumId w:val="18"/>
  </w:num>
  <w:num w:numId="8">
    <w:abstractNumId w:val="17"/>
  </w:num>
  <w:num w:numId="9">
    <w:abstractNumId w:val="6"/>
  </w:num>
  <w:num w:numId="10">
    <w:abstractNumId w:val="24"/>
  </w:num>
  <w:num w:numId="11">
    <w:abstractNumId w:val="21"/>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2">
    <w:abstractNumId w:val="0"/>
  </w:num>
  <w:num w:numId="13">
    <w:abstractNumId w:val="7"/>
  </w:num>
  <w:num w:numId="14">
    <w:abstractNumId w:val="11"/>
  </w:num>
  <w:num w:numId="15">
    <w:abstractNumId w:val="22"/>
  </w:num>
  <w:num w:numId="16">
    <w:abstractNumId w:val="3"/>
  </w:num>
  <w:num w:numId="17">
    <w:abstractNumId w:val="1"/>
  </w:num>
  <w:num w:numId="18">
    <w:abstractNumId w:val="26"/>
  </w:num>
  <w:num w:numId="19">
    <w:abstractNumId w:val="14"/>
  </w:num>
  <w:num w:numId="20">
    <w:abstractNumId w:val="8"/>
  </w:num>
  <w:num w:numId="21">
    <w:abstractNumId w:val="13"/>
  </w:num>
  <w:num w:numId="22">
    <w:abstractNumId w:val="20"/>
  </w:num>
  <w:num w:numId="23">
    <w:abstractNumId w:val="9"/>
  </w:num>
  <w:num w:numId="24">
    <w:abstractNumId w:val="19"/>
  </w:num>
  <w:num w:numId="25">
    <w:abstractNumId w:val="12"/>
  </w:num>
  <w:num w:numId="26">
    <w:abstractNumId w:val="10"/>
  </w:num>
  <w:num w:numId="2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05"/>
    <w:rsid w:val="000104D6"/>
    <w:rsid w:val="000141B0"/>
    <w:rsid w:val="00025F76"/>
    <w:rsid w:val="00030CF7"/>
    <w:rsid w:val="00043D08"/>
    <w:rsid w:val="00062C4D"/>
    <w:rsid w:val="00074E9E"/>
    <w:rsid w:val="00080615"/>
    <w:rsid w:val="000927C4"/>
    <w:rsid w:val="000A1495"/>
    <w:rsid w:val="000C252F"/>
    <w:rsid w:val="000C3353"/>
    <w:rsid w:val="000D0D4A"/>
    <w:rsid w:val="000E1AB3"/>
    <w:rsid w:val="000E3CF5"/>
    <w:rsid w:val="000F3A54"/>
    <w:rsid w:val="000F48FC"/>
    <w:rsid w:val="0011161F"/>
    <w:rsid w:val="00114FE9"/>
    <w:rsid w:val="001171CB"/>
    <w:rsid w:val="00123535"/>
    <w:rsid w:val="00145E9C"/>
    <w:rsid w:val="0015481B"/>
    <w:rsid w:val="00164AB3"/>
    <w:rsid w:val="00182709"/>
    <w:rsid w:val="0018626E"/>
    <w:rsid w:val="0018742F"/>
    <w:rsid w:val="001C10BA"/>
    <w:rsid w:val="001D00D1"/>
    <w:rsid w:val="001E2AB6"/>
    <w:rsid w:val="001E5690"/>
    <w:rsid w:val="001F32C6"/>
    <w:rsid w:val="00201052"/>
    <w:rsid w:val="00210CF1"/>
    <w:rsid w:val="00224568"/>
    <w:rsid w:val="00224AB3"/>
    <w:rsid w:val="00226514"/>
    <w:rsid w:val="00231AAC"/>
    <w:rsid w:val="00231C2F"/>
    <w:rsid w:val="00231DE4"/>
    <w:rsid w:val="002369A3"/>
    <w:rsid w:val="00240880"/>
    <w:rsid w:val="0026708F"/>
    <w:rsid w:val="002804D3"/>
    <w:rsid w:val="00280B7F"/>
    <w:rsid w:val="002811BC"/>
    <w:rsid w:val="00284807"/>
    <w:rsid w:val="002C6B33"/>
    <w:rsid w:val="002E4FD3"/>
    <w:rsid w:val="002F3020"/>
    <w:rsid w:val="002F6CFC"/>
    <w:rsid w:val="003035B7"/>
    <w:rsid w:val="00321D17"/>
    <w:rsid w:val="0032576D"/>
    <w:rsid w:val="00334AFF"/>
    <w:rsid w:val="00335AC2"/>
    <w:rsid w:val="00342EFF"/>
    <w:rsid w:val="003449A0"/>
    <w:rsid w:val="00362AB6"/>
    <w:rsid w:val="003C00A3"/>
    <w:rsid w:val="003C0471"/>
    <w:rsid w:val="003F29B8"/>
    <w:rsid w:val="003F5E59"/>
    <w:rsid w:val="0041333F"/>
    <w:rsid w:val="004154E2"/>
    <w:rsid w:val="004166F9"/>
    <w:rsid w:val="00420DAC"/>
    <w:rsid w:val="00457B58"/>
    <w:rsid w:val="00460AE7"/>
    <w:rsid w:val="00461264"/>
    <w:rsid w:val="00461DE3"/>
    <w:rsid w:val="00466D9B"/>
    <w:rsid w:val="004700E9"/>
    <w:rsid w:val="00474AFB"/>
    <w:rsid w:val="004B045A"/>
    <w:rsid w:val="004B15AA"/>
    <w:rsid w:val="004D4273"/>
    <w:rsid w:val="004E35ED"/>
    <w:rsid w:val="004F347E"/>
    <w:rsid w:val="00514B98"/>
    <w:rsid w:val="00526F9F"/>
    <w:rsid w:val="00533E40"/>
    <w:rsid w:val="00534D53"/>
    <w:rsid w:val="00553631"/>
    <w:rsid w:val="0057088D"/>
    <w:rsid w:val="00574141"/>
    <w:rsid w:val="0058181B"/>
    <w:rsid w:val="005A68BD"/>
    <w:rsid w:val="005B053D"/>
    <w:rsid w:val="005F3A98"/>
    <w:rsid w:val="00601EC1"/>
    <w:rsid w:val="00612896"/>
    <w:rsid w:val="00624438"/>
    <w:rsid w:val="00625854"/>
    <w:rsid w:val="00645D15"/>
    <w:rsid w:val="00651348"/>
    <w:rsid w:val="00652BDE"/>
    <w:rsid w:val="00680A20"/>
    <w:rsid w:val="00680F04"/>
    <w:rsid w:val="00682104"/>
    <w:rsid w:val="006A14CE"/>
    <w:rsid w:val="006A6479"/>
    <w:rsid w:val="006B4D34"/>
    <w:rsid w:val="006D6D91"/>
    <w:rsid w:val="007242F2"/>
    <w:rsid w:val="00751D0C"/>
    <w:rsid w:val="00755141"/>
    <w:rsid w:val="0075595A"/>
    <w:rsid w:val="007608D7"/>
    <w:rsid w:val="00764D93"/>
    <w:rsid w:val="00773EE4"/>
    <w:rsid w:val="0078103B"/>
    <w:rsid w:val="00787F39"/>
    <w:rsid w:val="007A7C97"/>
    <w:rsid w:val="007B11B5"/>
    <w:rsid w:val="007C3735"/>
    <w:rsid w:val="008277EE"/>
    <w:rsid w:val="008806FF"/>
    <w:rsid w:val="00884508"/>
    <w:rsid w:val="008850F8"/>
    <w:rsid w:val="0089775B"/>
    <w:rsid w:val="008A649A"/>
    <w:rsid w:val="008B7938"/>
    <w:rsid w:val="008C3752"/>
    <w:rsid w:val="008E21DE"/>
    <w:rsid w:val="0090040A"/>
    <w:rsid w:val="0092679E"/>
    <w:rsid w:val="009467B1"/>
    <w:rsid w:val="009539C8"/>
    <w:rsid w:val="00970A65"/>
    <w:rsid w:val="00975C4B"/>
    <w:rsid w:val="00985452"/>
    <w:rsid w:val="00987E1A"/>
    <w:rsid w:val="0099570B"/>
    <w:rsid w:val="009A56C9"/>
    <w:rsid w:val="009B1FF7"/>
    <w:rsid w:val="009C01B7"/>
    <w:rsid w:val="009D06E2"/>
    <w:rsid w:val="009E4158"/>
    <w:rsid w:val="009E4EA5"/>
    <w:rsid w:val="009E6D79"/>
    <w:rsid w:val="009F4EAA"/>
    <w:rsid w:val="00A0452A"/>
    <w:rsid w:val="00A07E4A"/>
    <w:rsid w:val="00A55381"/>
    <w:rsid w:val="00A60009"/>
    <w:rsid w:val="00A61EC3"/>
    <w:rsid w:val="00A65308"/>
    <w:rsid w:val="00A67190"/>
    <w:rsid w:val="00A70A66"/>
    <w:rsid w:val="00A94882"/>
    <w:rsid w:val="00AA094B"/>
    <w:rsid w:val="00AB12D5"/>
    <w:rsid w:val="00AC6704"/>
    <w:rsid w:val="00AD4C66"/>
    <w:rsid w:val="00AD735D"/>
    <w:rsid w:val="00AF0899"/>
    <w:rsid w:val="00B00FA2"/>
    <w:rsid w:val="00B01634"/>
    <w:rsid w:val="00B16680"/>
    <w:rsid w:val="00B232D9"/>
    <w:rsid w:val="00B2798D"/>
    <w:rsid w:val="00B533BE"/>
    <w:rsid w:val="00B603C0"/>
    <w:rsid w:val="00B65906"/>
    <w:rsid w:val="00B6728A"/>
    <w:rsid w:val="00B70E1D"/>
    <w:rsid w:val="00B736A5"/>
    <w:rsid w:val="00B7399B"/>
    <w:rsid w:val="00B83AB4"/>
    <w:rsid w:val="00BA448D"/>
    <w:rsid w:val="00BA4FF9"/>
    <w:rsid w:val="00BA5605"/>
    <w:rsid w:val="00BC11EA"/>
    <w:rsid w:val="00BC3BA1"/>
    <w:rsid w:val="00BD16D9"/>
    <w:rsid w:val="00BE045C"/>
    <w:rsid w:val="00BE5F7F"/>
    <w:rsid w:val="00C0421C"/>
    <w:rsid w:val="00C043F6"/>
    <w:rsid w:val="00C10202"/>
    <w:rsid w:val="00C107A2"/>
    <w:rsid w:val="00C21944"/>
    <w:rsid w:val="00C2698C"/>
    <w:rsid w:val="00C4132D"/>
    <w:rsid w:val="00C47CDF"/>
    <w:rsid w:val="00C52C59"/>
    <w:rsid w:val="00C62A1E"/>
    <w:rsid w:val="00C81875"/>
    <w:rsid w:val="00C90DF2"/>
    <w:rsid w:val="00CA1D27"/>
    <w:rsid w:val="00CA2323"/>
    <w:rsid w:val="00CB4A38"/>
    <w:rsid w:val="00CB64BD"/>
    <w:rsid w:val="00CC2FD1"/>
    <w:rsid w:val="00CE217F"/>
    <w:rsid w:val="00CE65D4"/>
    <w:rsid w:val="00D01DE4"/>
    <w:rsid w:val="00D04306"/>
    <w:rsid w:val="00D0560A"/>
    <w:rsid w:val="00D174D0"/>
    <w:rsid w:val="00D44F54"/>
    <w:rsid w:val="00D71A41"/>
    <w:rsid w:val="00D87255"/>
    <w:rsid w:val="00D917C0"/>
    <w:rsid w:val="00DA00BB"/>
    <w:rsid w:val="00DA55E0"/>
    <w:rsid w:val="00DB5FD7"/>
    <w:rsid w:val="00DD501B"/>
    <w:rsid w:val="00DD7EB5"/>
    <w:rsid w:val="00DE4226"/>
    <w:rsid w:val="00DE53D0"/>
    <w:rsid w:val="00DF74BA"/>
    <w:rsid w:val="00E15D01"/>
    <w:rsid w:val="00E243C4"/>
    <w:rsid w:val="00E260AC"/>
    <w:rsid w:val="00E3267A"/>
    <w:rsid w:val="00E33C76"/>
    <w:rsid w:val="00E40290"/>
    <w:rsid w:val="00E41BCB"/>
    <w:rsid w:val="00E54BD2"/>
    <w:rsid w:val="00E6274D"/>
    <w:rsid w:val="00E6493E"/>
    <w:rsid w:val="00EC47DF"/>
    <w:rsid w:val="00EC6A54"/>
    <w:rsid w:val="00EE737C"/>
    <w:rsid w:val="00EF4074"/>
    <w:rsid w:val="00F1656F"/>
    <w:rsid w:val="00F33379"/>
    <w:rsid w:val="00F410F9"/>
    <w:rsid w:val="00F41613"/>
    <w:rsid w:val="00F5615D"/>
    <w:rsid w:val="00F561F7"/>
    <w:rsid w:val="00F56AAB"/>
    <w:rsid w:val="00F61F7A"/>
    <w:rsid w:val="00F71C1B"/>
    <w:rsid w:val="00F9318C"/>
    <w:rsid w:val="00F94B10"/>
    <w:rsid w:val="00F94CB0"/>
    <w:rsid w:val="00FA3AB2"/>
    <w:rsid w:val="00FB2D49"/>
    <w:rsid w:val="00FD64E0"/>
    <w:rsid w:val="00FD6638"/>
    <w:rsid w:val="00FD66D7"/>
    <w:rsid w:val="00FE28AE"/>
    <w:rsid w:val="00FE637F"/>
    <w:rsid w:val="00FE7295"/>
    <w:rsid w:val="00FF5D9C"/>
    <w:rsid w:val="00FF7699"/>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C180F5"/>
  <w15:chartTrackingRefBased/>
  <w15:docId w15:val="{26609558-98B2-4489-BA47-A899F20C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14"/>
    <w:pPr>
      <w:suppressAutoHyphens/>
      <w:spacing w:before="200" w:after="200" w:line="280" w:lineRule="atLeast"/>
    </w:pPr>
    <w:rPr>
      <w:sz w:val="22"/>
    </w:rPr>
  </w:style>
  <w:style w:type="paragraph" w:styleId="Heading1">
    <w:name w:val="heading 1"/>
    <w:basedOn w:val="Normal"/>
    <w:next w:val="Normal"/>
    <w:link w:val="Heading1Char"/>
    <w:uiPriority w:val="1"/>
    <w:qFormat/>
    <w:rsid w:val="00B16680"/>
    <w:pPr>
      <w:keepNext/>
      <w:keepLines/>
      <w:spacing w:before="240" w:after="120" w:line="240"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1171CB"/>
    <w:pPr>
      <w:keepNext/>
      <w:keepLines/>
      <w:spacing w:before="240" w:after="120" w:line="240" w:lineRule="auto"/>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B16680"/>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1171CB"/>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link w:val="NoSpacingChar"/>
    <w:uiPriority w:val="1"/>
    <w:unhideWhenUsed/>
    <w:qFormat/>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basedOn w:val="Normal"/>
    <w:uiPriority w:val="34"/>
    <w:qFormat/>
    <w:rsid w:val="00BA5605"/>
    <w:pPr>
      <w:suppressAutoHyphens w:val="0"/>
      <w:spacing w:before="0" w:line="276" w:lineRule="auto"/>
      <w:ind w:left="720"/>
      <w:contextualSpacing/>
    </w:pPr>
    <w:rPr>
      <w:rFonts w:ascii="Arial" w:hAnsi="Arial"/>
      <w:color w:val="auto"/>
      <w:szCs w:val="22"/>
    </w:rPr>
  </w:style>
  <w:style w:type="character" w:customStyle="1" w:styleId="NoSpacingChar">
    <w:name w:val="No Spacing Char"/>
    <w:basedOn w:val="DefaultParagraphFont"/>
    <w:link w:val="NoSpacing"/>
    <w:uiPriority w:val="1"/>
    <w:rsid w:val="009E4158"/>
  </w:style>
  <w:style w:type="paragraph" w:customStyle="1" w:styleId="Default">
    <w:name w:val="Default"/>
    <w:rsid w:val="009E4158"/>
    <w:pPr>
      <w:autoSpaceDE w:val="0"/>
      <w:autoSpaceDN w:val="0"/>
      <w:adjustRightInd w:val="0"/>
      <w:spacing w:before="0" w:after="0"/>
    </w:pPr>
    <w:rPr>
      <w:rFonts w:ascii="Symbol" w:hAnsi="Symbol" w:cs="Symbol"/>
      <w:color w:val="000000"/>
      <w:sz w:val="24"/>
      <w:szCs w:val="24"/>
    </w:rPr>
  </w:style>
  <w:style w:type="character" w:styleId="CommentReference">
    <w:name w:val="annotation reference"/>
    <w:basedOn w:val="DefaultParagraphFont"/>
    <w:uiPriority w:val="99"/>
    <w:semiHidden/>
    <w:unhideWhenUsed/>
    <w:rsid w:val="00342EFF"/>
    <w:rPr>
      <w:sz w:val="16"/>
      <w:szCs w:val="16"/>
    </w:rPr>
  </w:style>
  <w:style w:type="paragraph" w:styleId="CommentText">
    <w:name w:val="annotation text"/>
    <w:basedOn w:val="Normal"/>
    <w:link w:val="CommentTextChar"/>
    <w:uiPriority w:val="99"/>
    <w:unhideWhenUsed/>
    <w:rsid w:val="00342EFF"/>
    <w:pPr>
      <w:spacing w:line="240" w:lineRule="auto"/>
    </w:pPr>
    <w:rPr>
      <w:sz w:val="20"/>
    </w:rPr>
  </w:style>
  <w:style w:type="character" w:customStyle="1" w:styleId="CommentTextChar">
    <w:name w:val="Comment Text Char"/>
    <w:basedOn w:val="DefaultParagraphFont"/>
    <w:link w:val="CommentText"/>
    <w:uiPriority w:val="99"/>
    <w:rsid w:val="00342EFF"/>
  </w:style>
  <w:style w:type="paragraph" w:styleId="CommentSubject">
    <w:name w:val="annotation subject"/>
    <w:basedOn w:val="CommentText"/>
    <w:next w:val="CommentText"/>
    <w:link w:val="CommentSubjectChar"/>
    <w:uiPriority w:val="99"/>
    <w:semiHidden/>
    <w:unhideWhenUsed/>
    <w:rsid w:val="00342EFF"/>
    <w:rPr>
      <w:b/>
      <w:bCs/>
    </w:rPr>
  </w:style>
  <w:style w:type="character" w:customStyle="1" w:styleId="CommentSubjectChar">
    <w:name w:val="Comment Subject Char"/>
    <w:basedOn w:val="CommentTextChar"/>
    <w:link w:val="CommentSubject"/>
    <w:uiPriority w:val="99"/>
    <w:semiHidden/>
    <w:rsid w:val="00342EFF"/>
    <w:rPr>
      <w:b/>
      <w:bCs/>
    </w:rPr>
  </w:style>
  <w:style w:type="paragraph" w:styleId="BalloonText">
    <w:name w:val="Balloon Text"/>
    <w:basedOn w:val="Normal"/>
    <w:link w:val="BalloonTextChar"/>
    <w:uiPriority w:val="99"/>
    <w:semiHidden/>
    <w:unhideWhenUsed/>
    <w:rsid w:val="00342EF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FF"/>
    <w:rPr>
      <w:rFonts w:ascii="Segoe UI" w:hAnsi="Segoe UI" w:cs="Segoe UI"/>
      <w:sz w:val="18"/>
      <w:szCs w:val="18"/>
    </w:rPr>
  </w:style>
  <w:style w:type="paragraph" w:customStyle="1" w:styleId="Body">
    <w:name w:val="Body"/>
    <w:basedOn w:val="Normal"/>
    <w:next w:val="Normal"/>
    <w:qFormat/>
    <w:rsid w:val="00BA448D"/>
    <w:pPr>
      <w:pBdr>
        <w:top w:val="nil"/>
        <w:left w:val="nil"/>
        <w:bottom w:val="nil"/>
        <w:right w:val="nil"/>
        <w:between w:val="nil"/>
        <w:bar w:val="nil"/>
      </w:pBdr>
      <w:suppressAutoHyphens w:val="0"/>
      <w:spacing w:before="120" w:after="240" w:line="240" w:lineRule="auto"/>
      <w:ind w:right="-35"/>
    </w:pPr>
    <w:rPr>
      <w:rFonts w:ascii="Calibri" w:eastAsia="Arial Unicode MS" w:hAnsi="Calibri"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BA448D"/>
    <w:pPr>
      <w:keepNext/>
      <w:pBdr>
        <w:top w:val="single" w:sz="48" w:space="6" w:color="5F2E74" w:themeColor="text2"/>
      </w:pBdr>
      <w:suppressAutoHyphens w:val="0"/>
      <w:spacing w:before="360" w:line="240" w:lineRule="auto"/>
      <w:outlineLvl w:val="1"/>
    </w:pPr>
    <w:rPr>
      <w:rFonts w:ascii="Calibri" w:eastAsia="Arial Unicode MS" w:hAnsi="Calibri" w:cs="Arial Unicode MS"/>
      <w:b/>
      <w:bCs/>
      <w:color w:val="612C69"/>
      <w:sz w:val="40"/>
      <w:szCs w:val="40"/>
      <w:bdr w:val="nil"/>
      <w:lang w:val="en-US" w:eastAsia="en-AU"/>
      <w14:textOutline w14:w="0" w14:cap="flat" w14:cmpd="sng" w14:algn="ctr">
        <w14:noFill/>
        <w14:prstDash w14:val="solid"/>
        <w14:bevel/>
      </w14:textOutline>
    </w:rPr>
  </w:style>
  <w:style w:type="paragraph" w:styleId="Revision">
    <w:name w:val="Revision"/>
    <w:hidden/>
    <w:uiPriority w:val="99"/>
    <w:semiHidden/>
    <w:rsid w:val="00D87255"/>
    <w:pPr>
      <w:spacing w:before="0" w:after="0"/>
    </w:pPr>
    <w:rPr>
      <w:sz w:val="22"/>
    </w:rPr>
  </w:style>
  <w:style w:type="paragraph" w:customStyle="1" w:styleId="1Documentnameh1">
    <w:name w:val="1. Document name h1"/>
    <w:qFormat/>
    <w:rsid w:val="00226514"/>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5"/>
      <w:outlineLvl w:val="0"/>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3">
    <w:name w:val="3. Title h3"/>
    <w:next w:val="Heading3"/>
    <w:qFormat/>
    <w:rsid w:val="00226514"/>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226514"/>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5AboutHeadingh4">
    <w:name w:val="5. About Heading h4"/>
    <w:basedOn w:val="Normal"/>
    <w:next w:val="Heading4"/>
    <w:qFormat/>
    <w:rsid w:val="00226514"/>
    <w:pPr>
      <w:keepNext/>
      <w:pBdr>
        <w:top w:val="single" w:sz="8" w:space="10" w:color="FBF7FD"/>
        <w:left w:val="single" w:sz="8" w:space="10" w:color="FBF7FD"/>
        <w:bottom w:val="single" w:sz="8" w:space="10" w:color="FBF7FD"/>
        <w:right w:val="single" w:sz="8" w:space="10" w:color="FBF7FD"/>
      </w:pBdr>
      <w:shd w:val="clear" w:color="auto" w:fill="F7F0FA"/>
      <w:suppressAutoHyphens w:val="0"/>
      <w:spacing w:before="0" w:line="240" w:lineRule="auto"/>
      <w:ind w:right="-35"/>
      <w:outlineLvl w:val="1"/>
    </w:pPr>
    <w:rPr>
      <w:rFonts w:ascii="Calibri" w:eastAsia="Arial Unicode MS" w:hAnsi="Calibri"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226514"/>
    <w:pPr>
      <w:numPr>
        <w:numId w:val="16"/>
      </w:numPr>
      <w:pBdr>
        <w:top w:val="single" w:sz="8" w:space="10" w:color="FBF7FD"/>
        <w:left w:val="single" w:sz="8" w:space="10" w:color="FBF7FD"/>
        <w:bottom w:val="single" w:sz="8" w:space="10" w:color="FBF7FD"/>
        <w:right w:val="single" w:sz="8" w:space="10" w:color="FBF7FD"/>
      </w:pBdr>
      <w:shd w:val="clear" w:color="auto" w:fill="F7F0FA"/>
      <w:suppressAutoHyphens w:val="0"/>
      <w:spacing w:before="120" w:after="240" w:line="240" w:lineRule="auto"/>
      <w:ind w:left="284" w:right="-35" w:hanging="284"/>
    </w:pPr>
    <w:rPr>
      <w:rFonts w:ascii="Calibri" w:eastAsia="Arial Unicode MS" w:hAnsi="Calibri"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226514"/>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226514"/>
    <w:pPr>
      <w:spacing w:after="120"/>
    </w:pPr>
  </w:style>
  <w:style w:type="character" w:customStyle="1" w:styleId="BodyTextChar">
    <w:name w:val="Body Text Char"/>
    <w:basedOn w:val="DefaultParagraphFont"/>
    <w:link w:val="BodyText"/>
    <w:uiPriority w:val="99"/>
    <w:semiHidden/>
    <w:rsid w:val="0022651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89784">
      <w:bodyDiv w:val="1"/>
      <w:marLeft w:val="0"/>
      <w:marRight w:val="0"/>
      <w:marTop w:val="0"/>
      <w:marBottom w:val="0"/>
      <w:divBdr>
        <w:top w:val="none" w:sz="0" w:space="0" w:color="auto"/>
        <w:left w:val="none" w:sz="0" w:space="0" w:color="auto"/>
        <w:bottom w:val="none" w:sz="0" w:space="0" w:color="auto"/>
        <w:right w:val="none" w:sz="0" w:space="0" w:color="auto"/>
      </w:divBdr>
    </w:div>
    <w:div w:id="435833154">
      <w:bodyDiv w:val="1"/>
      <w:marLeft w:val="0"/>
      <w:marRight w:val="0"/>
      <w:marTop w:val="0"/>
      <w:marBottom w:val="0"/>
      <w:divBdr>
        <w:top w:val="none" w:sz="0" w:space="0" w:color="auto"/>
        <w:left w:val="none" w:sz="0" w:space="0" w:color="auto"/>
        <w:bottom w:val="none" w:sz="0" w:space="0" w:color="auto"/>
        <w:right w:val="none" w:sz="0" w:space="0" w:color="auto"/>
      </w:divBdr>
    </w:div>
    <w:div w:id="1047216446">
      <w:bodyDiv w:val="1"/>
      <w:marLeft w:val="0"/>
      <w:marRight w:val="0"/>
      <w:marTop w:val="0"/>
      <w:marBottom w:val="0"/>
      <w:divBdr>
        <w:top w:val="none" w:sz="0" w:space="0" w:color="auto"/>
        <w:left w:val="none" w:sz="0" w:space="0" w:color="auto"/>
        <w:bottom w:val="none" w:sz="0" w:space="0" w:color="auto"/>
        <w:right w:val="none" w:sz="0" w:space="0" w:color="auto"/>
      </w:divBdr>
    </w:div>
    <w:div w:id="1201748845">
      <w:bodyDiv w:val="1"/>
      <w:marLeft w:val="0"/>
      <w:marRight w:val="0"/>
      <w:marTop w:val="0"/>
      <w:marBottom w:val="0"/>
      <w:divBdr>
        <w:top w:val="none" w:sz="0" w:space="0" w:color="auto"/>
        <w:left w:val="none" w:sz="0" w:space="0" w:color="auto"/>
        <w:bottom w:val="none" w:sz="0" w:space="0" w:color="auto"/>
        <w:right w:val="none" w:sz="0" w:space="0" w:color="auto"/>
      </w:divBdr>
    </w:div>
    <w:div w:id="1323385431">
      <w:bodyDiv w:val="1"/>
      <w:marLeft w:val="0"/>
      <w:marRight w:val="0"/>
      <w:marTop w:val="0"/>
      <w:marBottom w:val="0"/>
      <w:divBdr>
        <w:top w:val="none" w:sz="0" w:space="0" w:color="auto"/>
        <w:left w:val="none" w:sz="0" w:space="0" w:color="auto"/>
        <w:bottom w:val="none" w:sz="0" w:space="0" w:color="auto"/>
        <w:right w:val="none" w:sz="0" w:space="0" w:color="auto"/>
      </w:divBdr>
    </w:div>
    <w:div w:id="13434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ndiscommission.gov.au/document/986" TargetMode="External"/><Relationship Id="rId18" Type="http://schemas.openxmlformats.org/officeDocument/2006/relationships/hyperlink" Target="https://apo.org.au/node/6232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who.int/publications/i/item/medication-safety-in-transitions-of-care-technical-report" TargetMode="External"/><Relationship Id="rId7" Type="http://schemas.openxmlformats.org/officeDocument/2006/relationships/endnotes" Target="endnotes.xml"/><Relationship Id="rId12" Type="http://schemas.openxmlformats.org/officeDocument/2006/relationships/hyperlink" Target="https://www.aihw.gov.au/reports/disability/access-health-services-disability/contents/content" TargetMode="External"/><Relationship Id="rId17" Type="http://schemas.openxmlformats.org/officeDocument/2006/relationships/hyperlink" Target="https://www.ndiscommission.gov.au/document/188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1.health.nsw.gov.au/pds/ActivePDSDocuments/GL2013_001.pdf" TargetMode="External"/><Relationship Id="rId20" Type="http://schemas.openxmlformats.org/officeDocument/2006/relationships/hyperlink" Target="https://www.un.org/development/desa/disabilities/convention-on-the-rights-of-persons-with-disabilities/article-25-health.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standards/nsqhs-standards" TargetMode="External"/><Relationship Id="rId24" Type="http://schemas.openxmlformats.org/officeDocument/2006/relationships/hyperlink" Target="https://www.ndiscommission.gov.au/" TargetMode="External"/><Relationship Id="rId5" Type="http://schemas.openxmlformats.org/officeDocument/2006/relationships/webSettings" Target="webSettings.xml"/><Relationship Id="rId15" Type="http://schemas.openxmlformats.org/officeDocument/2006/relationships/hyperlink" Target="https://www1.health.nsw.gov.au/pds/ActivePDSDocuments/PD2017_001.pdf" TargetMode="External"/><Relationship Id="rId23" Type="http://schemas.openxmlformats.org/officeDocument/2006/relationships/hyperlink" Target="mailto:contactcentre@ndiscommission.gov.au" TargetMode="External"/><Relationship Id="rId28" Type="http://schemas.openxmlformats.org/officeDocument/2006/relationships/footer" Target="footer2.xml"/><Relationship Id="rId10" Type="http://schemas.openxmlformats.org/officeDocument/2006/relationships/hyperlink" Target="https://www.safetyandquality.gov.au/publications-and-resources/resource-library/australian-charter-healthcare-rights-second-edition-a4-accessible" TargetMode="External"/><Relationship Id="rId19" Type="http://schemas.openxmlformats.org/officeDocument/2006/relationships/hyperlink" Target="https://ww2.health.wa.gov.au/~/media/Files/Corporate/general%20documents/Health%20Networks/Disability/PDF/Hospital-Stay-Guideline.pdf" TargetMode="External"/><Relationship Id="rId4" Type="http://schemas.openxmlformats.org/officeDocument/2006/relationships/settings" Target="settings.xml"/><Relationship Id="rId9" Type="http://schemas.openxmlformats.org/officeDocument/2006/relationships/hyperlink" Target="https://www.ndiscommission.gov.au/document/986" TargetMode="External"/><Relationship Id="rId14" Type="http://schemas.openxmlformats.org/officeDocument/2006/relationships/hyperlink" Target="https://www.aci.health.nsw.gov.au/resources/intellectual-disability/id-essentials/resources/the-essentials" TargetMode="External"/><Relationship Id="rId22" Type="http://schemas.openxmlformats.org/officeDocument/2006/relationships/hyperlink" Target="https://apps.who.int/iris/bitstream/handle/10665/252272/9789241511599-eng.pdf;sequence=1"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prinfnas002n\Apps\msoffice\2016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AEB7E-9E35-42FD-ACE5-336E5871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26</TotalTime>
  <Pages>5</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Practice Alert: Transitions of care between disability services and hospitals</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Transitions of care between disability services and hospitals</dc:title>
  <dc:subject/>
  <dc:creator>NDIS Quality and Safeguards Commission</dc:creator>
  <cp:keywords/>
  <dc:description/>
  <cp:lastModifiedBy>LUNNEY, Heather</cp:lastModifiedBy>
  <cp:revision>6</cp:revision>
  <dcterms:created xsi:type="dcterms:W3CDTF">2020-11-23T23:54:00Z</dcterms:created>
  <dcterms:modified xsi:type="dcterms:W3CDTF">2020-11-24T02:24:00Z</dcterms:modified>
</cp:coreProperties>
</file>