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9D9F" w14:textId="472F3137" w:rsidR="00CE4DAF" w:rsidRPr="00C1056D" w:rsidRDefault="00C1056D" w:rsidP="00C1056D">
      <w:pPr>
        <w:pStyle w:val="Covertitle"/>
        <w:ind w:right="-188"/>
        <w:rPr>
          <w:sz w:val="80"/>
          <w:szCs w:val="80"/>
        </w:rPr>
      </w:pPr>
      <w:bookmarkStart w:id="0" w:name="_GoBack"/>
      <w:bookmarkEnd w:id="0"/>
      <w:r w:rsidRPr="00C1056D">
        <w:rPr>
          <w:sz w:val="80"/>
          <w:szCs w:val="80"/>
        </w:rPr>
        <w:t>Evidence</w:t>
      </w:r>
      <w:r w:rsidR="002E185D">
        <w:rPr>
          <w:sz w:val="80"/>
          <w:szCs w:val="80"/>
        </w:rPr>
        <w:t>-</w:t>
      </w:r>
      <w:r w:rsidRPr="00C1056D">
        <w:rPr>
          <w:sz w:val="80"/>
          <w:szCs w:val="80"/>
        </w:rPr>
        <w:t>Informed Practice</w:t>
      </w:r>
      <w:r w:rsidR="003F737C">
        <w:rPr>
          <w:sz w:val="80"/>
          <w:szCs w:val="80"/>
        </w:rPr>
        <w:t xml:space="preserve"> Guide</w:t>
      </w:r>
    </w:p>
    <w:p w14:paraId="063EA739" w14:textId="01FBF3E5" w:rsidR="005209DA" w:rsidRPr="005209DA" w:rsidRDefault="003F737C" w:rsidP="00F704CE">
      <w:pPr>
        <w:pStyle w:val="Coversubtitle"/>
        <w:rPr>
          <w:sz w:val="40"/>
        </w:rPr>
      </w:pPr>
      <w:r>
        <w:rPr>
          <w:sz w:val="40"/>
        </w:rPr>
        <w:t>July</w:t>
      </w:r>
      <w:r w:rsidR="002C38AB">
        <w:rPr>
          <w:sz w:val="40"/>
        </w:rPr>
        <w:t xml:space="preserve"> </w:t>
      </w:r>
      <w:r w:rsidR="005209DA" w:rsidRPr="005209DA">
        <w:rPr>
          <w:sz w:val="40"/>
        </w:rPr>
        <w:t>2023</w:t>
      </w:r>
    </w:p>
    <w:p w14:paraId="1F1CE89B" w14:textId="4A18E686" w:rsidR="00CE4DAF" w:rsidRPr="004359DF" w:rsidRDefault="00CE4DAF" w:rsidP="004359DF">
      <w:pPr>
        <w:pBdr>
          <w:left w:val="single" w:sz="48" w:space="4" w:color="9DC44D" w:themeColor="accent6"/>
        </w:pBdr>
        <w:spacing w:before="0"/>
        <w:ind w:left="284" w:firstLine="425"/>
        <w:rPr>
          <w:color w:val="FFFFFF" w:themeColor="background1"/>
          <w:sz w:val="40"/>
          <w:szCs w:val="40"/>
        </w:rPr>
        <w:sectPr w:rsidR="00CE4DAF" w:rsidRPr="004359DF" w:rsidSect="005209DA">
          <w:headerReference w:type="default" r:id="rId12"/>
          <w:footerReference w:type="default" r:id="rId13"/>
          <w:headerReference w:type="first" r:id="rId14"/>
          <w:type w:val="continuous"/>
          <w:pgSz w:w="11906" w:h="16838" w:code="9"/>
          <w:pgMar w:top="1440" w:right="1440" w:bottom="1440" w:left="1440" w:header="284" w:footer="397" w:gutter="0"/>
          <w:cols w:space="340"/>
          <w:titlePg/>
          <w:docGrid w:linePitch="360"/>
          <w15:footnoteColumns w:val="1"/>
        </w:sectPr>
      </w:pPr>
    </w:p>
    <w:p w14:paraId="3314510F" w14:textId="77777777" w:rsidR="00C1056D" w:rsidRPr="00690A48" w:rsidRDefault="00C1056D" w:rsidP="00420AC3">
      <w:pPr>
        <w:pStyle w:val="Heading1"/>
        <w:spacing w:before="0" w:after="120"/>
        <w:rPr>
          <w:rFonts w:eastAsia="Times New Roman"/>
        </w:rPr>
      </w:pPr>
      <w:bookmarkStart w:id="1" w:name="_Ref138997286"/>
      <w:r w:rsidRPr="00690A48">
        <w:rPr>
          <w:rFonts w:eastAsia="Times New Roman"/>
        </w:rPr>
        <w:lastRenderedPageBreak/>
        <w:t>Key points</w:t>
      </w:r>
      <w:bookmarkEnd w:id="1"/>
    </w:p>
    <w:p w14:paraId="565EB739" w14:textId="203A29DB" w:rsidR="005C3CA6" w:rsidRDefault="005C3CA6" w:rsidP="00B74E48">
      <w:pPr>
        <w:pStyle w:val="Bullet1"/>
        <w:spacing w:before="120" w:after="120"/>
      </w:pPr>
      <w:r>
        <w:t>Evidence</w:t>
      </w:r>
      <w:r w:rsidR="002E185D">
        <w:t>-</w:t>
      </w:r>
      <w:r>
        <w:t xml:space="preserve">informed practice supports NDIS providers to </w:t>
      </w:r>
      <w:r w:rsidR="00665443">
        <w:t>achieve compliance</w:t>
      </w:r>
      <w:r>
        <w:t xml:space="preserve"> with thei</w:t>
      </w:r>
      <w:r w:rsidR="00665443">
        <w:t>r obligations under the NDIS legislation</w:t>
      </w:r>
      <w:r>
        <w:t xml:space="preserve">. </w:t>
      </w:r>
    </w:p>
    <w:p w14:paraId="367DBCE4" w14:textId="6A3E9229" w:rsidR="00C1056D" w:rsidRPr="00C1056D" w:rsidRDefault="00C1056D" w:rsidP="00B74E48">
      <w:pPr>
        <w:pStyle w:val="Bullet1"/>
        <w:spacing w:before="120" w:after="120"/>
      </w:pPr>
      <w:r w:rsidRPr="00C1056D">
        <w:t xml:space="preserve">Evidence-informed practice means </w:t>
      </w:r>
      <w:r w:rsidRPr="00D80474">
        <w:t>int</w:t>
      </w:r>
      <w:r w:rsidR="005104D5" w:rsidRPr="00D80474">
        <w:t>e</w:t>
      </w:r>
      <w:r w:rsidRPr="00D80474">
        <w:t xml:space="preserve">grating the best available contemporary research with the rights and perspectives of people with disability, </w:t>
      </w:r>
      <w:r w:rsidR="006B13C2" w:rsidRPr="00D80474">
        <w:t xml:space="preserve">the expertise of </w:t>
      </w:r>
      <w:r w:rsidRPr="00D80474">
        <w:t>professional</w:t>
      </w:r>
      <w:r w:rsidR="006B13C2" w:rsidRPr="00D80474">
        <w:t>s</w:t>
      </w:r>
      <w:r w:rsidRPr="00D80474">
        <w:t xml:space="preserve">, and </w:t>
      </w:r>
      <w:r w:rsidR="00D0330B" w:rsidRPr="00D80474">
        <w:t xml:space="preserve">information </w:t>
      </w:r>
      <w:r w:rsidRPr="00D80474">
        <w:t>from the implementing</w:t>
      </w:r>
      <w:r w:rsidR="00236FEF">
        <w:t xml:space="preserve"> or practice</w:t>
      </w:r>
      <w:r w:rsidRPr="00D80474">
        <w:t xml:space="preserve"> context</w:t>
      </w:r>
      <w:r w:rsidR="006B13C2" w:rsidRPr="00D80474">
        <w:t>(s)</w:t>
      </w:r>
      <w:r w:rsidRPr="00D80474">
        <w:t>.</w:t>
      </w:r>
    </w:p>
    <w:p w14:paraId="6FFA8BBC" w14:textId="77777777" w:rsidR="007840D4" w:rsidRDefault="00C1056D" w:rsidP="00DC7F93">
      <w:pPr>
        <w:pStyle w:val="Bullet1"/>
        <w:spacing w:before="120" w:after="120"/>
      </w:pPr>
      <w:r w:rsidRPr="00C1056D">
        <w:t>Evidence-informed practice uphold</w:t>
      </w:r>
      <w:r w:rsidR="00625ED7">
        <w:t>s</w:t>
      </w:r>
      <w:r w:rsidRPr="00C1056D">
        <w:t xml:space="preserve"> the rights of the person with disability and </w:t>
      </w:r>
      <w:r w:rsidR="00625ED7">
        <w:t xml:space="preserve">involves </w:t>
      </w:r>
      <w:r w:rsidRPr="00C1056D">
        <w:t>doing more of ‘what works’.</w:t>
      </w:r>
      <w:r w:rsidR="006B13C2">
        <w:t xml:space="preserve"> </w:t>
      </w:r>
      <w:r w:rsidR="00625ED7">
        <w:t xml:space="preserve">It </w:t>
      </w:r>
      <w:r w:rsidRPr="00C1056D">
        <w:t>helps providers to continuously learn and improve</w:t>
      </w:r>
      <w:r w:rsidR="0056347F">
        <w:t xml:space="preserve"> the quality of the supports and services they provide</w:t>
      </w:r>
      <w:r w:rsidRPr="00C1056D">
        <w:t>.</w:t>
      </w:r>
    </w:p>
    <w:p w14:paraId="3F9AEA06" w14:textId="3D1EFA7A" w:rsidR="006B2AC4" w:rsidRPr="00C1056D" w:rsidRDefault="007840D4" w:rsidP="00DC7F93">
      <w:pPr>
        <w:pStyle w:val="Bullet1"/>
        <w:spacing w:before="120" w:after="120"/>
      </w:pPr>
      <w:r>
        <w:t xml:space="preserve">Evidence-informed practice involves focusing on outcomes, including those which improve the person’s quality of life, inclusion and </w:t>
      </w:r>
      <w:r w:rsidR="00236FEF">
        <w:t xml:space="preserve">social </w:t>
      </w:r>
      <w:r>
        <w:t>participation.</w:t>
      </w:r>
    </w:p>
    <w:p w14:paraId="57CA511C" w14:textId="1D1CD381" w:rsidR="00C1056D" w:rsidRPr="00C1056D" w:rsidRDefault="00C1056D" w:rsidP="00B74E48">
      <w:pPr>
        <w:pStyle w:val="Bullet1"/>
        <w:spacing w:before="120" w:after="120"/>
      </w:pPr>
      <w:r w:rsidRPr="00C1056D">
        <w:t>Evidence-based guidelines and practice alerts are published by the NDIS Commission and other reputable sources. The</w:t>
      </w:r>
      <w:r w:rsidR="00184B62">
        <w:t>se resources offer</w:t>
      </w:r>
      <w:r w:rsidRPr="00C1056D">
        <w:t xml:space="preserve"> helpful summaries of the best available research and outline the implications for practice.</w:t>
      </w:r>
    </w:p>
    <w:p w14:paraId="07967E09" w14:textId="77777777" w:rsidR="00C1056D" w:rsidRPr="00C1056D" w:rsidRDefault="00C1056D" w:rsidP="00B74E48">
      <w:pPr>
        <w:pStyle w:val="Bullet1"/>
        <w:spacing w:before="120" w:after="120"/>
      </w:pPr>
      <w:r w:rsidRPr="00C1056D">
        <w:t>There are tools and approaches that can support the implementation of best evidence into real-world practice.</w:t>
      </w:r>
      <w:r w:rsidR="006B13C2">
        <w:t xml:space="preserve"> </w:t>
      </w:r>
      <w:r w:rsidR="00625ED7">
        <w:t>This involves</w:t>
      </w:r>
      <w:r w:rsidRPr="00C1056D">
        <w:t xml:space="preserve"> consider</w:t>
      </w:r>
      <w:r w:rsidR="00625ED7">
        <w:t>ing</w:t>
      </w:r>
      <w:r w:rsidRPr="00C1056D">
        <w:t xml:space="preserve"> the strength of the available evidence, the fit with current needs and priorities; and the capacity </w:t>
      </w:r>
      <w:r w:rsidR="006B13C2">
        <w:t>t</w:t>
      </w:r>
      <w:r w:rsidRPr="00C1056D">
        <w:t>o implement</w:t>
      </w:r>
      <w:r w:rsidR="00184B62">
        <w:t xml:space="preserve"> </w:t>
      </w:r>
      <w:r w:rsidRPr="00C1056D">
        <w:t>within the available resources.</w:t>
      </w:r>
    </w:p>
    <w:p w14:paraId="0414A3B7" w14:textId="77777777" w:rsidR="00236FEF" w:rsidRDefault="00C1056D" w:rsidP="00236FEF">
      <w:pPr>
        <w:pStyle w:val="Bullet1"/>
        <w:spacing w:before="120" w:after="120"/>
      </w:pPr>
      <w:r w:rsidRPr="00C1056D">
        <w:t xml:space="preserve">People with disability should be provided with accessible information about the best available evidence </w:t>
      </w:r>
      <w:r w:rsidR="0056347F">
        <w:t xml:space="preserve">and support (if required) </w:t>
      </w:r>
      <w:r w:rsidRPr="00C1056D">
        <w:t>to make decisions about their supports and services.</w:t>
      </w:r>
    </w:p>
    <w:p w14:paraId="2D0819E0" w14:textId="77777777" w:rsidR="00236FEF" w:rsidRPr="00236FEF" w:rsidRDefault="00C1056D" w:rsidP="007048E5">
      <w:pPr>
        <w:pStyle w:val="Bullet1"/>
        <w:spacing w:before="120" w:after="120"/>
        <w:rPr>
          <w:color w:val="auto"/>
          <w:szCs w:val="22"/>
        </w:rPr>
      </w:pPr>
      <w:r w:rsidRPr="00C1056D">
        <w:t xml:space="preserve">NDIS providers should take all reasonable steps to prevent the use of strategies and approaches that </w:t>
      </w:r>
      <w:r w:rsidR="00625ED7">
        <w:t>may</w:t>
      </w:r>
      <w:r w:rsidRPr="00C1056D">
        <w:t xml:space="preserve"> cause harm or have been proven to be ineffective. Use of such approaches may breach the NDIS Code of Conduct and/or a provider</w:t>
      </w:r>
      <w:r w:rsidR="00AD4235">
        <w:t>’</w:t>
      </w:r>
      <w:r w:rsidRPr="00C1056D">
        <w:t>s conditions of registration, and may result in compliance and enforcement action.</w:t>
      </w:r>
    </w:p>
    <w:p w14:paraId="4919EE3E" w14:textId="207469B5" w:rsidR="00C1056D" w:rsidRPr="00236FEF" w:rsidRDefault="00C1056D" w:rsidP="00236FEF">
      <w:pPr>
        <w:pStyle w:val="Heading1"/>
        <w:rPr>
          <w:rFonts w:eastAsiaTheme="minorHAnsi"/>
          <w:color w:val="auto"/>
          <w:sz w:val="22"/>
          <w:szCs w:val="22"/>
        </w:rPr>
      </w:pPr>
      <w:r w:rsidRPr="00236FEF">
        <w:rPr>
          <w:rFonts w:eastAsia="Times New Roman"/>
        </w:rPr>
        <w:t>Purpose</w:t>
      </w:r>
    </w:p>
    <w:p w14:paraId="02D5ACE0" w14:textId="463525C6" w:rsidR="00C1056D" w:rsidRPr="00690A48" w:rsidRDefault="00C1056D" w:rsidP="00C1056D">
      <w:pPr>
        <w:rPr>
          <w:rFonts w:cstheme="minorHAnsi"/>
        </w:rPr>
      </w:pPr>
      <w:r w:rsidRPr="00690A48">
        <w:rPr>
          <w:rFonts w:cstheme="minorHAnsi"/>
        </w:rPr>
        <w:t xml:space="preserve">This </w:t>
      </w:r>
      <w:r w:rsidR="003F737C">
        <w:rPr>
          <w:rFonts w:cstheme="minorHAnsi"/>
        </w:rPr>
        <w:t>Guide</w:t>
      </w:r>
      <w:r w:rsidRPr="00690A48">
        <w:rPr>
          <w:rFonts w:cstheme="minorHAnsi"/>
        </w:rPr>
        <w:t xml:space="preserve"> outlines the NDIS Commission’s position on evidence-informed practice and what is expected of NDIS providers. It describes what evidence-informed practice is, why it is important, how it can be implemented by NDIS providers, and where to find further information.</w:t>
      </w:r>
    </w:p>
    <w:p w14:paraId="5A55B383" w14:textId="77777777" w:rsidR="00C1056D" w:rsidRPr="00690A48" w:rsidRDefault="00C1056D" w:rsidP="00420AC3">
      <w:pPr>
        <w:pStyle w:val="Heading1"/>
        <w:spacing w:after="120"/>
        <w:rPr>
          <w:rFonts w:eastAsia="Times New Roman"/>
        </w:rPr>
      </w:pPr>
      <w:r w:rsidRPr="00690A48">
        <w:rPr>
          <w:rFonts w:eastAsia="Times New Roman"/>
        </w:rPr>
        <w:t>Scope</w:t>
      </w:r>
    </w:p>
    <w:p w14:paraId="579FEDE9" w14:textId="40C490F9" w:rsidR="005C3CA6" w:rsidRDefault="00C1056D" w:rsidP="00C1056D">
      <w:pPr>
        <w:rPr>
          <w:rFonts w:cstheme="minorHAnsi"/>
        </w:rPr>
      </w:pPr>
      <w:r w:rsidRPr="00690A48">
        <w:rPr>
          <w:rFonts w:cstheme="minorHAnsi"/>
        </w:rPr>
        <w:t>Th</w:t>
      </w:r>
      <w:r w:rsidR="00C06887">
        <w:rPr>
          <w:rFonts w:cstheme="minorHAnsi"/>
        </w:rPr>
        <w:t>is</w:t>
      </w:r>
      <w:r w:rsidRPr="00690A48">
        <w:rPr>
          <w:rFonts w:cstheme="minorHAnsi"/>
        </w:rPr>
        <w:t xml:space="preserve"> </w:t>
      </w:r>
      <w:r w:rsidR="003F737C">
        <w:rPr>
          <w:rFonts w:cstheme="minorHAnsi"/>
        </w:rPr>
        <w:t>Guide</w:t>
      </w:r>
      <w:r w:rsidRPr="00690A48">
        <w:rPr>
          <w:rFonts w:cstheme="minorHAnsi"/>
        </w:rPr>
        <w:t xml:space="preserve"> has been developed for NDIS providers, both registered and unregistered. It may also assist NDIS participants and others who support them to uphold their rights and know what to expect from providers.</w:t>
      </w:r>
      <w:r w:rsidR="005C3CA6">
        <w:rPr>
          <w:rFonts w:cstheme="minorHAnsi"/>
        </w:rPr>
        <w:t xml:space="preserve"> </w:t>
      </w:r>
      <w:r w:rsidR="00420AC3">
        <w:rPr>
          <w:rFonts w:cstheme="minorHAnsi"/>
        </w:rPr>
        <w:t xml:space="preserve">For more information see the </w:t>
      </w:r>
      <w:hyperlink w:anchor="_Legislative_linkages" w:history="1">
        <w:r w:rsidR="00420AC3" w:rsidRPr="00420AC3">
          <w:rPr>
            <w:rStyle w:val="Hyperlink"/>
            <w:rFonts w:cstheme="minorHAnsi"/>
          </w:rPr>
          <w:t>legislative linkage</w:t>
        </w:r>
      </w:hyperlink>
      <w:r w:rsidR="00420AC3">
        <w:rPr>
          <w:rFonts w:cstheme="minorHAnsi"/>
        </w:rPr>
        <w:t xml:space="preserve"> section.</w:t>
      </w:r>
      <w:r w:rsidR="00D80474">
        <w:rPr>
          <w:rFonts w:cstheme="minorHAnsi"/>
        </w:rPr>
        <w:t xml:space="preserve"> An Easy Read version of this document will also be made available.</w:t>
      </w:r>
    </w:p>
    <w:p w14:paraId="03A27AC1" w14:textId="4FFA6504" w:rsidR="00FE0E1F" w:rsidRDefault="00FE0E1F" w:rsidP="00FE0E1F">
      <w:pPr>
        <w:spacing w:after="0"/>
      </w:pPr>
      <w:r>
        <w:t xml:space="preserve">This </w:t>
      </w:r>
      <w:r w:rsidR="003F737C">
        <w:t>Guide</w:t>
      </w:r>
      <w:r>
        <w:t xml:space="preserve"> acknowledges that evidence is continuall</w:t>
      </w:r>
      <w:r w:rsidR="00686149">
        <w:t xml:space="preserve">y evolving and does not comment </w:t>
      </w:r>
      <w:r>
        <w:t>on specific interventions or new trials being undertaken.</w:t>
      </w:r>
    </w:p>
    <w:p w14:paraId="419BBF9C" w14:textId="54022C02" w:rsidR="00C1056D" w:rsidRDefault="00C1056D" w:rsidP="00420AC3">
      <w:pPr>
        <w:spacing w:after="0"/>
        <w:rPr>
          <w:rFonts w:asciiTheme="majorHAnsi" w:eastAsia="Times New Roman" w:hAnsiTheme="majorHAnsi" w:cstheme="majorBidi"/>
          <w:b/>
          <w:color w:val="612C69"/>
          <w:sz w:val="40"/>
          <w:szCs w:val="40"/>
        </w:rPr>
      </w:pPr>
      <w:r w:rsidRPr="00690A48">
        <w:rPr>
          <w:rFonts w:cstheme="minorHAnsi"/>
        </w:rPr>
        <w:lastRenderedPageBreak/>
        <w:t xml:space="preserve">This </w:t>
      </w:r>
      <w:r w:rsidR="003F737C">
        <w:rPr>
          <w:rFonts w:cstheme="minorHAnsi"/>
        </w:rPr>
        <w:t>Guide</w:t>
      </w:r>
      <w:r w:rsidRPr="00690A48">
        <w:rPr>
          <w:rFonts w:cstheme="minorHAnsi"/>
        </w:rPr>
        <w:t xml:space="preserve"> </w:t>
      </w:r>
      <w:r w:rsidR="00420AC3">
        <w:rPr>
          <w:rFonts w:cstheme="minorHAnsi"/>
        </w:rPr>
        <w:t>does not</w:t>
      </w:r>
      <w:r w:rsidRPr="00690A48">
        <w:rPr>
          <w:rFonts w:cstheme="minorHAnsi"/>
        </w:rPr>
        <w:t xml:space="preserve"> comment on </w:t>
      </w:r>
      <w:r w:rsidR="00184B62">
        <w:rPr>
          <w:rFonts w:cstheme="minorHAnsi"/>
        </w:rPr>
        <w:t xml:space="preserve">the </w:t>
      </w:r>
      <w:r w:rsidRPr="00690A48">
        <w:rPr>
          <w:rFonts w:cstheme="minorHAnsi"/>
        </w:rPr>
        <w:t>National Disability Insurance Agency’s planning processes or funding decisions in relation to evidence-informed practice</w:t>
      </w:r>
      <w:r w:rsidR="00184B62">
        <w:rPr>
          <w:rFonts w:cstheme="minorHAnsi"/>
        </w:rPr>
        <w:t>, services or supports</w:t>
      </w:r>
      <w:r w:rsidRPr="00690A48">
        <w:rPr>
          <w:rFonts w:cstheme="minorHAnsi"/>
        </w:rPr>
        <w:t>.</w:t>
      </w:r>
      <w:r w:rsidR="00420AC3">
        <w:rPr>
          <w:rFonts w:cstheme="minorHAnsi"/>
        </w:rPr>
        <w:t xml:space="preserve"> For more information see the NDIA’s guidance on </w:t>
      </w:r>
      <w:hyperlink r:id="rId15" w:history="1">
        <w:r w:rsidR="00420AC3">
          <w:rPr>
            <w:rStyle w:val="Hyperlink"/>
          </w:rPr>
          <w:t>Evidence-based best practice</w:t>
        </w:r>
      </w:hyperlink>
      <w:r w:rsidR="00420AC3">
        <w:t>.</w:t>
      </w:r>
      <w:r w:rsidR="00420AC3">
        <w:rPr>
          <w:rFonts w:cstheme="minorHAnsi"/>
        </w:rPr>
        <w:t xml:space="preserve"> </w:t>
      </w:r>
    </w:p>
    <w:p w14:paraId="0F12A30F" w14:textId="77777777" w:rsidR="00C1056D" w:rsidRPr="00690A48" w:rsidRDefault="00C1056D" w:rsidP="00596C22">
      <w:pPr>
        <w:pStyle w:val="Heading1"/>
        <w:spacing w:before="480"/>
        <w:rPr>
          <w:noProof/>
          <w:sz w:val="24"/>
          <w:lang w:eastAsia="en-AU"/>
        </w:rPr>
      </w:pPr>
      <w:bookmarkStart w:id="2" w:name="_What_is_evidence-informed"/>
      <w:bookmarkEnd w:id="2"/>
      <w:r w:rsidRPr="00690A48">
        <w:rPr>
          <w:rFonts w:eastAsia="Times New Roman"/>
        </w:rPr>
        <w:t>What is evidence-informed practice?</w:t>
      </w:r>
      <w:r w:rsidRPr="00690A48">
        <w:rPr>
          <w:noProof/>
          <w:sz w:val="24"/>
          <w:lang w:eastAsia="en-AU"/>
        </w:rPr>
        <w:t xml:space="preserve"> </w:t>
      </w:r>
    </w:p>
    <w:p w14:paraId="62BD5AB9" w14:textId="79CBCDDD" w:rsidR="003E5FEE" w:rsidRDefault="00C1056D" w:rsidP="003E5FEE">
      <w:pPr>
        <w:rPr>
          <w:rFonts w:cstheme="minorHAnsi"/>
        </w:rPr>
      </w:pPr>
      <w:r w:rsidRPr="00690A48">
        <w:rPr>
          <w:rFonts w:cstheme="minorHAnsi"/>
        </w:rPr>
        <w:t>Evidence-informed practice is a process for making informed decisions about the delivery of supports and services.</w:t>
      </w:r>
      <w:r w:rsidR="006B2AC4">
        <w:rPr>
          <w:rFonts w:cstheme="minorHAnsi"/>
        </w:rPr>
        <w:t xml:space="preserve"> It focuses on outcomes, including those which improve the person’s quality of life, inclusion and </w:t>
      </w:r>
      <w:r w:rsidR="00236FEF">
        <w:rPr>
          <w:rFonts w:cstheme="minorHAnsi"/>
        </w:rPr>
        <w:t xml:space="preserve">social </w:t>
      </w:r>
      <w:r w:rsidR="006B2AC4">
        <w:rPr>
          <w:rFonts w:cstheme="minorHAnsi"/>
        </w:rPr>
        <w:t xml:space="preserve">participation. </w:t>
      </w:r>
      <w:r w:rsidR="003E5FEE">
        <w:rPr>
          <w:rFonts w:cstheme="minorHAnsi"/>
        </w:rPr>
        <w:t xml:space="preserve">Evidence-informed practice requires stakeholders to work together in the spirit of collaboration to consider the available evidence (as per </w:t>
      </w:r>
      <w:r w:rsidR="00B9649B">
        <w:rPr>
          <w:rFonts w:cstheme="minorHAnsi"/>
        </w:rPr>
        <w:t>F</w:t>
      </w:r>
      <w:r w:rsidR="003E5FEE">
        <w:rPr>
          <w:rFonts w:cstheme="minorHAnsi"/>
        </w:rPr>
        <w:t xml:space="preserve">igure 1), implement the chosen approach or intervention and monitor outcomes achieved. </w:t>
      </w:r>
    </w:p>
    <w:p w14:paraId="61D38ECD" w14:textId="4006D546" w:rsidR="00B0103B" w:rsidRDefault="00C1056D" w:rsidP="00B0103B">
      <w:pPr>
        <w:rPr>
          <w:szCs w:val="18"/>
        </w:rPr>
      </w:pPr>
      <w:r w:rsidRPr="00690A48">
        <w:rPr>
          <w:rFonts w:cstheme="minorHAnsi"/>
        </w:rPr>
        <w:t xml:space="preserve">For the NDIS Commission, evidence-informed practice means integrating </w:t>
      </w:r>
      <w:r w:rsidR="00B61EEA" w:rsidRPr="00690A48">
        <w:rPr>
          <w:rFonts w:cstheme="minorHAnsi"/>
        </w:rPr>
        <w:t>the rights and perspectives of the person with disability</w:t>
      </w:r>
      <w:r w:rsidR="00B61EEA">
        <w:rPr>
          <w:rFonts w:cstheme="minorHAnsi"/>
        </w:rPr>
        <w:t>, with</w:t>
      </w:r>
      <w:r w:rsidR="00B61EEA" w:rsidRPr="00690A48">
        <w:rPr>
          <w:rFonts w:cstheme="minorHAnsi"/>
        </w:rPr>
        <w:t xml:space="preserve"> </w:t>
      </w:r>
      <w:r w:rsidRPr="00690A48">
        <w:rPr>
          <w:rFonts w:cstheme="minorHAnsi"/>
        </w:rPr>
        <w:t>the best available research with professional expertise</w:t>
      </w:r>
      <w:r w:rsidR="00B61EEA">
        <w:rPr>
          <w:rFonts w:cstheme="minorHAnsi"/>
        </w:rPr>
        <w:t xml:space="preserve"> and</w:t>
      </w:r>
      <w:r w:rsidRPr="00690A48">
        <w:rPr>
          <w:rFonts w:cstheme="minorHAnsi"/>
        </w:rPr>
        <w:t xml:space="preserve"> information from the implementing</w:t>
      </w:r>
      <w:r w:rsidR="00236FEF">
        <w:rPr>
          <w:rFonts w:cstheme="minorHAnsi"/>
        </w:rPr>
        <w:t xml:space="preserve"> or practice</w:t>
      </w:r>
      <w:r w:rsidRPr="00690A48">
        <w:rPr>
          <w:rFonts w:cstheme="minorHAnsi"/>
        </w:rPr>
        <w:t xml:space="preserve"> context</w:t>
      </w:r>
      <w:r w:rsidR="00E45669">
        <w:rPr>
          <w:rFonts w:cstheme="minorHAnsi"/>
        </w:rPr>
        <w:t>s</w:t>
      </w:r>
      <w:r w:rsidR="00B0103B">
        <w:rPr>
          <w:rFonts w:cstheme="minorHAnsi"/>
        </w:rPr>
        <w:t>.</w:t>
      </w:r>
      <w:r w:rsidR="00B0103B" w:rsidRPr="00B0103B">
        <w:rPr>
          <w:rFonts w:cstheme="minorHAnsi"/>
        </w:rPr>
        <w:t xml:space="preserve"> </w:t>
      </w:r>
    </w:p>
    <w:p w14:paraId="5DD38BA3" w14:textId="0FA68BE9" w:rsidR="00C1056D" w:rsidRDefault="00C1056D" w:rsidP="00686149">
      <w:pPr>
        <w:rPr>
          <w:rFonts w:cstheme="minorHAnsi"/>
        </w:rPr>
      </w:pPr>
      <w:r w:rsidRPr="00690A48">
        <w:rPr>
          <w:rFonts w:cstheme="minorHAnsi"/>
        </w:rPr>
        <w:t>This is illustrated in Figure 1 below and the subsequent discussion of each component.</w:t>
      </w:r>
      <w:r w:rsidR="00DB6554" w:rsidRPr="00DB6554">
        <w:rPr>
          <w:rFonts w:cstheme="minorHAnsi"/>
        </w:rPr>
        <w:t xml:space="preserve"> </w:t>
      </w:r>
    </w:p>
    <w:p w14:paraId="02FC3378" w14:textId="5BF085F6" w:rsidR="00D80474" w:rsidRDefault="00D80474" w:rsidP="00596C22">
      <w:pPr>
        <w:jc w:val="center"/>
        <w:rPr>
          <w:rFonts w:cstheme="minorHAnsi"/>
        </w:rPr>
      </w:pPr>
      <w:r w:rsidRPr="00DB6554">
        <w:rPr>
          <w:noProof/>
          <w:lang w:eastAsia="en-AU"/>
        </w:rPr>
        <w:drawing>
          <wp:inline distT="0" distB="0" distL="0" distR="0" wp14:anchorId="37B4AF20" wp14:editId="0DBCBB57">
            <wp:extent cx="4960620" cy="2540809"/>
            <wp:effectExtent l="0" t="0" r="0" b="0"/>
            <wp:docPr id="5" name="Picture 5" descr="A diagram showing the model of evidence-inform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7973"/>
                    <a:stretch/>
                  </pic:blipFill>
                  <pic:spPr bwMode="auto">
                    <a:xfrm>
                      <a:off x="0" y="0"/>
                      <a:ext cx="4970933" cy="2546091"/>
                    </a:xfrm>
                    <a:prstGeom prst="rect">
                      <a:avLst/>
                    </a:prstGeom>
                    <a:noFill/>
                    <a:ln>
                      <a:noFill/>
                    </a:ln>
                    <a:extLst>
                      <a:ext uri="{53640926-AAD7-44D8-BBD7-CCE9431645EC}">
                        <a14:shadowObscured xmlns:a14="http://schemas.microsoft.com/office/drawing/2010/main"/>
                      </a:ext>
                    </a:extLst>
                  </pic:spPr>
                </pic:pic>
              </a:graphicData>
            </a:graphic>
          </wp:inline>
        </w:drawing>
      </w:r>
    </w:p>
    <w:p w14:paraId="6589683E" w14:textId="35B93700" w:rsidR="00BE56F5" w:rsidRPr="00D63426" w:rsidRDefault="00C00D40" w:rsidP="00BE56F5">
      <w:pPr>
        <w:spacing w:after="0"/>
        <w:jc w:val="center"/>
      </w:pPr>
      <w:bookmarkStart w:id="3" w:name="_Ref138997080"/>
      <w:r w:rsidRPr="00D63426">
        <w:t xml:space="preserve">Figure </w:t>
      </w:r>
      <w:fldSimple w:instr=" SEQ Figure \* ARABIC ">
        <w:r w:rsidR="009E00FE" w:rsidRPr="00D63426">
          <w:rPr>
            <w:noProof/>
          </w:rPr>
          <w:t>1</w:t>
        </w:r>
      </w:fldSimple>
      <w:r w:rsidRPr="00D63426">
        <w:t>: NDIS Commission's model of evidence-informed practice</w:t>
      </w:r>
      <w:bookmarkEnd w:id="3"/>
    </w:p>
    <w:p w14:paraId="5856D1D9" w14:textId="7E922A3A" w:rsidR="00BE56F5" w:rsidRDefault="00BE56F5" w:rsidP="00BE56F5">
      <w:pPr>
        <w:spacing w:before="0"/>
        <w:jc w:val="center"/>
        <w:rPr>
          <w:szCs w:val="18"/>
        </w:rPr>
      </w:pPr>
      <w:r w:rsidRPr="00D63426">
        <w:t>(</w:t>
      </w:r>
      <w:r w:rsidR="00DB7E41" w:rsidRPr="00D63426">
        <w:t>A</w:t>
      </w:r>
      <w:r w:rsidRPr="00D63426">
        <w:rPr>
          <w:szCs w:val="18"/>
        </w:rPr>
        <w:t xml:space="preserve">dapted </w:t>
      </w:r>
      <w:r w:rsidR="004C0583" w:rsidRPr="00D63426">
        <w:rPr>
          <w:szCs w:val="18"/>
        </w:rPr>
        <w:t>from Sackett, et al.</w:t>
      </w:r>
      <w:r w:rsidRPr="00D63426">
        <w:rPr>
          <w:szCs w:val="18"/>
        </w:rPr>
        <w:t xml:space="preserve"> 1996</w:t>
      </w:r>
      <w:r w:rsidR="004C0583" w:rsidRPr="00D63426">
        <w:rPr>
          <w:szCs w:val="18"/>
        </w:rPr>
        <w:t xml:space="preserve"> and Hoffman et al.</w:t>
      </w:r>
      <w:r w:rsidRPr="00D63426">
        <w:rPr>
          <w:szCs w:val="18"/>
        </w:rPr>
        <w:t xml:space="preserve"> 2016).</w:t>
      </w:r>
    </w:p>
    <w:p w14:paraId="486AFA17" w14:textId="2F0F6E5B" w:rsidR="003316E7" w:rsidRPr="00D63426" w:rsidRDefault="009C4968" w:rsidP="009C4968">
      <w:pPr>
        <w:jc w:val="center"/>
      </w:pPr>
      <w:r>
        <w:t xml:space="preserve">For the extended description of Figure 1, refer to the </w:t>
      </w:r>
      <w:hyperlink w:anchor="_Figure_1:_NDIS" w:history="1">
        <w:r w:rsidRPr="00427CD3">
          <w:rPr>
            <w:rStyle w:val="Hyperlink"/>
          </w:rPr>
          <w:t>Appendix</w:t>
        </w:r>
      </w:hyperlink>
      <w:r>
        <w:t>.</w:t>
      </w:r>
    </w:p>
    <w:p w14:paraId="682AE66E" w14:textId="50D6EB71" w:rsidR="00B0103B" w:rsidRPr="0023084F" w:rsidRDefault="00C1056D" w:rsidP="00BE56F5">
      <w:pPr>
        <w:spacing w:before="360" w:after="60" w:line="240" w:lineRule="auto"/>
      </w:pPr>
      <w:r w:rsidRPr="00690A48">
        <w:rPr>
          <w:rFonts w:cstheme="minorHAnsi"/>
        </w:rPr>
        <w:t xml:space="preserve">The NDIS Commission has adopted the </w:t>
      </w:r>
      <w:r w:rsidRPr="009E00FE">
        <w:rPr>
          <w:rFonts w:cstheme="minorHAnsi"/>
        </w:rPr>
        <w:t>term</w:t>
      </w:r>
      <w:r w:rsidRPr="00690A48">
        <w:rPr>
          <w:rFonts w:cstheme="minorHAnsi"/>
        </w:rPr>
        <w:t xml:space="preserve"> “evidence-informed practice” for the purpose of this document and consistency with legislation.  It is acknowledged that the term and concept of “evidence-</w:t>
      </w:r>
      <w:r w:rsidRPr="00704236">
        <w:rPr>
          <w:rFonts w:cstheme="minorHAnsi"/>
          <w:color w:val="auto"/>
        </w:rPr>
        <w:t xml:space="preserve">based practice” may be </w:t>
      </w:r>
      <w:r w:rsidRPr="00690A48">
        <w:rPr>
          <w:rFonts w:cstheme="minorHAnsi"/>
        </w:rPr>
        <w:t>used in other settings and practice cont</w:t>
      </w:r>
      <w:r w:rsidRPr="00B0103B">
        <w:rPr>
          <w:rFonts w:cstheme="minorHAnsi"/>
          <w:szCs w:val="22"/>
        </w:rPr>
        <w:t>exts.</w:t>
      </w:r>
      <w:r w:rsidR="00B0103B" w:rsidRPr="00B0103B">
        <w:rPr>
          <w:rStyle w:val="CommentReference"/>
          <w:sz w:val="22"/>
          <w:szCs w:val="22"/>
        </w:rPr>
        <w:t xml:space="preserve"> For the purposes of this document, evidence-informed practice and evidence-based practice mean the same thing.</w:t>
      </w:r>
      <w:r w:rsidR="00B0103B" w:rsidRPr="003E01EE">
        <w:rPr>
          <w:rStyle w:val="CommentReference"/>
          <w:sz w:val="18"/>
        </w:rPr>
        <w:t xml:space="preserve"> </w:t>
      </w:r>
    </w:p>
    <w:p w14:paraId="603E05A6" w14:textId="77777777" w:rsidR="00D63426" w:rsidRDefault="00D63426" w:rsidP="00AA5648">
      <w:r>
        <w:br w:type="page"/>
      </w:r>
    </w:p>
    <w:p w14:paraId="11AD6579" w14:textId="2C55522B" w:rsidR="00C1056D" w:rsidRPr="00690A48" w:rsidRDefault="00C1056D" w:rsidP="00C1056D">
      <w:pPr>
        <w:pStyle w:val="Heading2"/>
      </w:pPr>
      <w:r w:rsidRPr="00690A48">
        <w:lastRenderedPageBreak/>
        <w:t>1. Rights and perspectives of the person with disability</w:t>
      </w:r>
    </w:p>
    <w:p w14:paraId="441A8276" w14:textId="77777777" w:rsidR="00C1056D" w:rsidRPr="00690A48" w:rsidRDefault="00C1056D" w:rsidP="00C1056D">
      <w:pPr>
        <w:spacing w:after="120"/>
        <w:rPr>
          <w:rFonts w:cstheme="minorHAnsi"/>
        </w:rPr>
      </w:pPr>
      <w:r w:rsidRPr="00690A48">
        <w:rPr>
          <w:rFonts w:cstheme="minorHAnsi"/>
        </w:rPr>
        <w:t xml:space="preserve">Evidence-informed practice emphasises and upholds a person’s human rights and dignity. It is a collaborative process that takes into account each person’s values, preferences and circumstances. It considers how best to work with that person and evaluate outcomes in partnership with the person. </w:t>
      </w:r>
    </w:p>
    <w:p w14:paraId="480BC8DA" w14:textId="77777777" w:rsidR="00C1056D" w:rsidRPr="00690A48" w:rsidRDefault="00C1056D" w:rsidP="00C1056D">
      <w:pPr>
        <w:spacing w:after="120"/>
        <w:rPr>
          <w:rFonts w:cstheme="minorHAnsi"/>
        </w:rPr>
      </w:pPr>
      <w:r w:rsidRPr="00690A48">
        <w:rPr>
          <w:rFonts w:cstheme="minorHAnsi"/>
        </w:rPr>
        <w:t>This means:</w:t>
      </w:r>
    </w:p>
    <w:p w14:paraId="10BCC7BA" w14:textId="77777777" w:rsidR="00E45669" w:rsidRPr="00690A48" w:rsidRDefault="00E45669" w:rsidP="00DC7F93">
      <w:pPr>
        <w:pStyle w:val="Bullet1"/>
        <w:spacing w:before="120" w:after="120"/>
        <w:ind w:left="567"/>
        <w:rPr>
          <w:u w:val="single"/>
        </w:rPr>
      </w:pPr>
      <w:r>
        <w:t>Respecting and upholding</w:t>
      </w:r>
      <w:r w:rsidRPr="00690A48">
        <w:t xml:space="preserve"> a person’s human rights.</w:t>
      </w:r>
    </w:p>
    <w:p w14:paraId="7E51990F" w14:textId="22BD4739" w:rsidR="00937EEC" w:rsidRDefault="00B96E29" w:rsidP="00DC7F93">
      <w:pPr>
        <w:pStyle w:val="Bullet1"/>
        <w:spacing w:before="120" w:after="120"/>
        <w:ind w:left="567"/>
      </w:pPr>
      <w:r>
        <w:t>R</w:t>
      </w:r>
      <w:r w:rsidR="00C1056D" w:rsidRPr="00937EEC">
        <w:t>ecognising that the person with disability is an expert in their own life</w:t>
      </w:r>
      <w:r>
        <w:t>.</w:t>
      </w:r>
    </w:p>
    <w:p w14:paraId="3668F906" w14:textId="474E54F8" w:rsidR="00C1056D" w:rsidRPr="00937EEC" w:rsidRDefault="00B96E29" w:rsidP="00DC7F93">
      <w:pPr>
        <w:pStyle w:val="Bullet1"/>
        <w:spacing w:before="120" w:after="120"/>
        <w:ind w:left="567"/>
      </w:pPr>
      <w:r>
        <w:t>F</w:t>
      </w:r>
      <w:r w:rsidR="00C1056D" w:rsidRPr="00937EEC">
        <w:t xml:space="preserve">ocusing on a person’s identity, their unique values, </w:t>
      </w:r>
      <w:r w:rsidR="0070474D">
        <w:t xml:space="preserve">beliefs, </w:t>
      </w:r>
      <w:r w:rsidR="00C1056D" w:rsidRPr="00937EEC">
        <w:t>preferences, priorities and circumstances</w:t>
      </w:r>
      <w:r>
        <w:t>.</w:t>
      </w:r>
    </w:p>
    <w:p w14:paraId="742621C2" w14:textId="418ED49A" w:rsidR="00C1056D" w:rsidRDefault="00B96E29" w:rsidP="00DC7F93">
      <w:pPr>
        <w:pStyle w:val="Bullet1"/>
        <w:spacing w:before="120" w:after="120"/>
        <w:ind w:left="567"/>
      </w:pPr>
      <w:r>
        <w:t>I</w:t>
      </w:r>
      <w:r w:rsidR="00C1056D" w:rsidRPr="00690A48">
        <w:t>ncluding and considering people important to the person with disability, such as friends and family (with their permission)</w:t>
      </w:r>
      <w:r>
        <w:t>.</w:t>
      </w:r>
    </w:p>
    <w:p w14:paraId="1F7EEE7D" w14:textId="448B528A" w:rsidR="0070474D" w:rsidRPr="0070474D" w:rsidRDefault="00246ED2" w:rsidP="00DC7F93">
      <w:pPr>
        <w:pStyle w:val="Bullet1"/>
        <w:spacing w:before="120" w:after="120"/>
        <w:ind w:left="567"/>
      </w:pPr>
      <w:r>
        <w:t>S</w:t>
      </w:r>
      <w:r w:rsidR="0070474D">
        <w:t>upport</w:t>
      </w:r>
      <w:r>
        <w:t xml:space="preserve">ing </w:t>
      </w:r>
      <w:r w:rsidR="0070474D">
        <w:t>self-determination and decision making.</w:t>
      </w:r>
    </w:p>
    <w:p w14:paraId="6BD1B787" w14:textId="0ED251BA" w:rsidR="00407473" w:rsidRPr="00407473" w:rsidRDefault="00407473" w:rsidP="00407473">
      <w:pPr>
        <w:spacing w:before="120" w:after="0"/>
        <w:rPr>
          <w:rFonts w:cstheme="minorHAnsi"/>
        </w:rPr>
      </w:pPr>
      <w:r w:rsidRPr="00407473">
        <w:rPr>
          <w:rFonts w:cstheme="minorHAnsi"/>
        </w:rPr>
        <w:t xml:space="preserve">See the </w:t>
      </w:r>
      <w:hyperlink w:anchor="_Supporting_participants" w:history="1">
        <w:r w:rsidRPr="00407473">
          <w:rPr>
            <w:rStyle w:val="Hyperlink"/>
            <w:rFonts w:cstheme="minorHAnsi"/>
          </w:rPr>
          <w:t>Supporting participants</w:t>
        </w:r>
      </w:hyperlink>
      <w:r w:rsidRPr="00407473">
        <w:rPr>
          <w:rFonts w:cstheme="minorHAnsi"/>
        </w:rPr>
        <w:t xml:space="preserve"> sections for further information about ways to </w:t>
      </w:r>
      <w:r>
        <w:rPr>
          <w:rFonts w:cstheme="minorHAnsi"/>
        </w:rPr>
        <w:t xml:space="preserve">share </w:t>
      </w:r>
      <w:r w:rsidR="00382D99">
        <w:rPr>
          <w:rFonts w:cstheme="minorHAnsi"/>
        </w:rPr>
        <w:t xml:space="preserve">information about evidence and </w:t>
      </w:r>
      <w:r>
        <w:rPr>
          <w:rFonts w:cstheme="minorHAnsi"/>
        </w:rPr>
        <w:t xml:space="preserve">best practice </w:t>
      </w:r>
      <w:r w:rsidR="00382D99">
        <w:rPr>
          <w:rFonts w:cstheme="minorHAnsi"/>
        </w:rPr>
        <w:t>to</w:t>
      </w:r>
      <w:r>
        <w:rPr>
          <w:rFonts w:cstheme="minorHAnsi"/>
        </w:rPr>
        <w:t xml:space="preserve"> support i</w:t>
      </w:r>
      <w:r w:rsidRPr="00407473">
        <w:rPr>
          <w:rFonts w:cstheme="minorHAnsi"/>
        </w:rPr>
        <w:t>nformed decision making.</w:t>
      </w:r>
    </w:p>
    <w:p w14:paraId="300390FA" w14:textId="77777777" w:rsidR="00C1056D" w:rsidRPr="00690A48" w:rsidRDefault="00C1056D" w:rsidP="004F6CAA">
      <w:pPr>
        <w:pStyle w:val="Heading2"/>
        <w:spacing w:before="480"/>
      </w:pPr>
      <w:r w:rsidRPr="00690A48">
        <w:t>2. Best research and evaluation evidence</w:t>
      </w:r>
    </w:p>
    <w:p w14:paraId="5568B70D" w14:textId="7EF724E7" w:rsidR="00B96E29" w:rsidRPr="00B96E29" w:rsidRDefault="00C1056D" w:rsidP="00FA0FAF">
      <w:pPr>
        <w:spacing w:after="120"/>
        <w:rPr>
          <w:rFonts w:cstheme="minorHAnsi"/>
        </w:rPr>
      </w:pPr>
      <w:r w:rsidRPr="00690A48">
        <w:rPr>
          <w:rFonts w:cstheme="minorHAnsi"/>
        </w:rPr>
        <w:t xml:space="preserve">There are two main types of evidence that can be </w:t>
      </w:r>
      <w:r w:rsidRPr="00B96E29">
        <w:rPr>
          <w:rFonts w:cstheme="minorHAnsi"/>
        </w:rPr>
        <w:t xml:space="preserve">considered in evidence-informed practice: </w:t>
      </w:r>
    </w:p>
    <w:p w14:paraId="1DD762EC" w14:textId="3E17BD2D" w:rsidR="00B96E29" w:rsidRPr="00B96E29" w:rsidRDefault="00B96E29" w:rsidP="00DC7F93">
      <w:pPr>
        <w:pStyle w:val="List1Numbered1"/>
        <w:spacing w:before="120" w:after="120"/>
        <w:ind w:left="567"/>
      </w:pPr>
      <w:r w:rsidRPr="00B96E29">
        <w:t>E</w:t>
      </w:r>
      <w:r w:rsidR="00C1056D" w:rsidRPr="00B96E29">
        <w:t>vidence from the research literature</w:t>
      </w:r>
      <w:r w:rsidRPr="00B96E29">
        <w:t>.</w:t>
      </w:r>
    </w:p>
    <w:p w14:paraId="13DD8889" w14:textId="6F0F652F" w:rsidR="00C1056D" w:rsidRPr="00B96E29" w:rsidRDefault="00B96E29" w:rsidP="00DC7F93">
      <w:pPr>
        <w:pStyle w:val="List1Numbered1"/>
        <w:spacing w:before="120" w:after="120"/>
        <w:ind w:left="567"/>
      </w:pPr>
      <w:r w:rsidRPr="00B96E29">
        <w:t>E</w:t>
      </w:r>
      <w:r w:rsidR="00C1056D" w:rsidRPr="00B96E29">
        <w:t xml:space="preserve">vidence collected through practice (“practice-based evidence”). </w:t>
      </w:r>
    </w:p>
    <w:p w14:paraId="34CBAEB6" w14:textId="405668DD" w:rsidR="00C1056D" w:rsidRPr="00690A48" w:rsidRDefault="00C1056D" w:rsidP="00B96E29">
      <w:pPr>
        <w:spacing w:before="120" w:after="120"/>
        <w:rPr>
          <w:rFonts w:cstheme="minorHAnsi"/>
        </w:rPr>
      </w:pPr>
      <w:r w:rsidRPr="00B96E29">
        <w:rPr>
          <w:rFonts w:cstheme="minorHAnsi"/>
        </w:rPr>
        <w:t>Where there are gaps in the research literature, providers are more likely to rely on practice-based evidence. In doing so, providers must be mindful that practice</w:t>
      </w:r>
      <w:r w:rsidRPr="00690A48">
        <w:rPr>
          <w:rFonts w:cstheme="minorHAnsi"/>
        </w:rPr>
        <w:t xml:space="preserve">-based evidence may not be objective </w:t>
      </w:r>
      <w:r w:rsidR="004A7652">
        <w:rPr>
          <w:rFonts w:cstheme="minorHAnsi"/>
        </w:rPr>
        <w:t>or</w:t>
      </w:r>
      <w:r w:rsidRPr="00690A48">
        <w:rPr>
          <w:rFonts w:cstheme="minorHAnsi"/>
        </w:rPr>
        <w:t xml:space="preserve"> generalisable to different contexts or situations. This is discussed further</w:t>
      </w:r>
      <w:r w:rsidR="009E00FE">
        <w:rPr>
          <w:rFonts w:cstheme="minorHAnsi"/>
        </w:rPr>
        <w:t xml:space="preserve"> in </w:t>
      </w:r>
      <w:hyperlink w:anchor="_2.2_Practice-based_evidence" w:history="1">
        <w:r w:rsidR="009E00FE" w:rsidRPr="009E00FE">
          <w:rPr>
            <w:rStyle w:val="Hyperlink"/>
            <w:rFonts w:cstheme="minorHAnsi"/>
            <w:i/>
          </w:rPr>
          <w:t>Practice-Based Evidence</w:t>
        </w:r>
      </w:hyperlink>
      <w:r w:rsidRPr="00690A48">
        <w:rPr>
          <w:rFonts w:cstheme="minorHAnsi"/>
        </w:rPr>
        <w:t>.</w:t>
      </w:r>
    </w:p>
    <w:p w14:paraId="04FA45C7" w14:textId="77777777" w:rsidR="00C1056D" w:rsidRPr="00690A48" w:rsidRDefault="00C1056D" w:rsidP="004F6CAA">
      <w:pPr>
        <w:pStyle w:val="Heading3"/>
        <w:spacing w:before="480"/>
      </w:pPr>
      <w:bookmarkStart w:id="4" w:name="_2._1_Evidence"/>
      <w:bookmarkEnd w:id="4"/>
      <w:r w:rsidRPr="00690A48">
        <w:t>2. 1 Evidence from the research literature</w:t>
      </w:r>
    </w:p>
    <w:p w14:paraId="1053859D" w14:textId="437C3632" w:rsidR="00C1056D" w:rsidRPr="00690A48" w:rsidRDefault="00C1056D" w:rsidP="00B96E29">
      <w:pPr>
        <w:spacing w:after="120"/>
        <w:rPr>
          <w:rFonts w:cstheme="minorHAnsi"/>
        </w:rPr>
      </w:pPr>
      <w:r w:rsidRPr="00690A48">
        <w:rPr>
          <w:rFonts w:cstheme="minorHAnsi"/>
        </w:rPr>
        <w:t>Providers should consider the best available evidence, according to the evidence hierarchy</w:t>
      </w:r>
      <w:r w:rsidR="005C5F81">
        <w:rPr>
          <w:rFonts w:cstheme="minorHAnsi"/>
        </w:rPr>
        <w:t xml:space="preserve"> as shown in F</w:t>
      </w:r>
      <w:r w:rsidRPr="00690A48">
        <w:rPr>
          <w:rFonts w:cstheme="minorHAnsi"/>
        </w:rPr>
        <w:t>igure 2:</w:t>
      </w:r>
    </w:p>
    <w:p w14:paraId="6F3992DA" w14:textId="77777777" w:rsidR="00C1056D" w:rsidRPr="00690A48" w:rsidRDefault="00C1056D" w:rsidP="00DC7F93">
      <w:pPr>
        <w:pStyle w:val="Bullet1"/>
        <w:spacing w:before="120" w:after="120"/>
        <w:ind w:left="567"/>
      </w:pPr>
      <w:r w:rsidRPr="00690A48">
        <w:t>The evidence hierarchy ranks study types based on the strength of their research method.</w:t>
      </w:r>
    </w:p>
    <w:p w14:paraId="0EC3A597" w14:textId="77777777" w:rsidR="00C1056D" w:rsidRPr="00690A48" w:rsidRDefault="00C1056D" w:rsidP="00DC7F93">
      <w:pPr>
        <w:pStyle w:val="Bullet1"/>
        <w:spacing w:before="120" w:after="120"/>
        <w:ind w:left="567"/>
      </w:pPr>
      <w:r w:rsidRPr="00690A48">
        <w:t>Well-designed systematic reviews and randomised controlled trials have the strongest evidence, and expert opinion and anecdotal experience are the weakest type of evidence.</w:t>
      </w:r>
    </w:p>
    <w:p w14:paraId="02B45705" w14:textId="34C7E49E" w:rsidR="00C1056D" w:rsidRDefault="00C1056D" w:rsidP="00DC7F93">
      <w:pPr>
        <w:pStyle w:val="Bullet1"/>
        <w:spacing w:before="120" w:after="120"/>
        <w:ind w:left="567"/>
      </w:pPr>
      <w:r w:rsidRPr="00690A48">
        <w:t xml:space="preserve">The evidence hierarchy considers the effectiveness of a given approach or intervention; and to a much less extent the risks or potential harms of using a given intervention or approach. </w:t>
      </w:r>
    </w:p>
    <w:p w14:paraId="5B18B3F9" w14:textId="77777777" w:rsidR="004F6CAA" w:rsidRDefault="004F6CAA" w:rsidP="009E00FE">
      <w:pPr>
        <w:pStyle w:val="ListParagraph"/>
        <w:keepNext/>
        <w:spacing w:after="0"/>
        <w:ind w:left="0" w:firstLine="505"/>
        <w:jc w:val="center"/>
      </w:pPr>
    </w:p>
    <w:p w14:paraId="2E887A56" w14:textId="128E8977" w:rsidR="009E00FE" w:rsidRDefault="003B2A6B" w:rsidP="00D63426">
      <w:pPr>
        <w:pStyle w:val="ListParagraph"/>
        <w:keepNext/>
        <w:spacing w:after="0"/>
        <w:ind w:left="0" w:firstLine="505"/>
        <w:jc w:val="center"/>
      </w:pPr>
      <w:r w:rsidRPr="00A81A7A">
        <w:rPr>
          <w:rFonts w:asciiTheme="minorHAnsi" w:hAnsiTheme="minorHAnsi" w:cstheme="minorHAnsi"/>
          <w:b/>
          <w:noProof/>
          <w:lang w:eastAsia="en-AU"/>
        </w:rPr>
        <w:drawing>
          <wp:inline distT="0" distB="0" distL="0" distR="0" wp14:anchorId="760B8183" wp14:editId="5C6AE80F">
            <wp:extent cx="4423410" cy="2012265"/>
            <wp:effectExtent l="0" t="0" r="0" b="7620"/>
            <wp:docPr id="6" name="Picture 6" descr="A diagram showing six different types of research evidence organised along a continuum, with the weakest evidence on the far left and the strongest evidence on the far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FNAS002N\Users\RM0134\My Documents\My Pictures\EIP Evidence hierarchy diagram 27.06.2023 (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408" b="6903"/>
                    <a:stretch/>
                  </pic:blipFill>
                  <pic:spPr bwMode="auto">
                    <a:xfrm>
                      <a:off x="0" y="0"/>
                      <a:ext cx="4423410" cy="2012265"/>
                    </a:xfrm>
                    <a:prstGeom prst="rect">
                      <a:avLst/>
                    </a:prstGeom>
                    <a:noFill/>
                    <a:ln>
                      <a:noFill/>
                    </a:ln>
                    <a:extLst>
                      <a:ext uri="{53640926-AAD7-44D8-BBD7-CCE9431645EC}">
                        <a14:shadowObscured xmlns:a14="http://schemas.microsoft.com/office/drawing/2010/main"/>
                      </a:ext>
                    </a:extLst>
                  </pic:spPr>
                </pic:pic>
              </a:graphicData>
            </a:graphic>
          </wp:inline>
        </w:drawing>
      </w:r>
    </w:p>
    <w:p w14:paraId="5B7B0107" w14:textId="09652436" w:rsidR="00C1056D" w:rsidRPr="00427CD3" w:rsidRDefault="009E00FE" w:rsidP="00427CD3">
      <w:pPr>
        <w:pStyle w:val="Caption"/>
      </w:pPr>
      <w:bookmarkStart w:id="5" w:name="_Ref138997576"/>
      <w:r w:rsidRPr="00427CD3">
        <w:t xml:space="preserve">Figure </w:t>
      </w:r>
      <w:fldSimple w:instr=" SEQ Figure \* ARABIC ">
        <w:r w:rsidRPr="00427CD3">
          <w:t>2</w:t>
        </w:r>
      </w:fldSimple>
      <w:r w:rsidRPr="00427CD3">
        <w:t>: Hierarchy of research evidence</w:t>
      </w:r>
      <w:bookmarkEnd w:id="5"/>
    </w:p>
    <w:p w14:paraId="74D92780" w14:textId="6E3EE77F" w:rsidR="005C5F81" w:rsidRDefault="004C0583" w:rsidP="005C5F81">
      <w:pPr>
        <w:pStyle w:val="Bullet1"/>
        <w:numPr>
          <w:ilvl w:val="0"/>
          <w:numId w:val="0"/>
        </w:numPr>
        <w:spacing w:before="0" w:after="120"/>
        <w:ind w:left="284"/>
        <w:jc w:val="center"/>
      </w:pPr>
      <w:r w:rsidRPr="00D63426">
        <w:t xml:space="preserve">Source: </w:t>
      </w:r>
      <w:r w:rsidR="005C5F81" w:rsidRPr="00D63426">
        <w:t xml:space="preserve">Adapted from NSW Department of Communities and Justice </w:t>
      </w:r>
      <w:r w:rsidRPr="00D63426">
        <w:t>(</w:t>
      </w:r>
      <w:r w:rsidR="005C5F81" w:rsidRPr="00D63426">
        <w:t>2020)</w:t>
      </w:r>
      <w:r w:rsidRPr="00D63426">
        <w:t>.</w:t>
      </w:r>
    </w:p>
    <w:p w14:paraId="7E43E10E" w14:textId="73B6FF49" w:rsidR="00427CD3" w:rsidRPr="00D63426" w:rsidRDefault="00427CD3" w:rsidP="00427CD3">
      <w:pPr>
        <w:jc w:val="center"/>
      </w:pPr>
      <w:r>
        <w:t xml:space="preserve">For the extended description of Figure 2, refer to the </w:t>
      </w:r>
      <w:hyperlink w:anchor="_Figure_2:_Hierarchy" w:history="1">
        <w:r w:rsidRPr="00427CD3">
          <w:rPr>
            <w:rStyle w:val="Hyperlink"/>
          </w:rPr>
          <w:t>Appendix</w:t>
        </w:r>
      </w:hyperlink>
      <w:r>
        <w:t>.</w:t>
      </w:r>
    </w:p>
    <w:p w14:paraId="6546051D" w14:textId="77777777" w:rsidR="00C1056D" w:rsidRPr="00690A48" w:rsidRDefault="00C1056D" w:rsidP="004F6CAA">
      <w:pPr>
        <w:spacing w:before="360" w:after="120"/>
        <w:rPr>
          <w:rFonts w:cstheme="minorHAnsi"/>
        </w:rPr>
      </w:pPr>
      <w:r w:rsidRPr="00690A48">
        <w:rPr>
          <w:rFonts w:cstheme="minorHAnsi"/>
        </w:rPr>
        <w:t>Providers should also consider the reliability of the sources, the age of the research, and whether there are any potential conflicts of interest:</w:t>
      </w:r>
    </w:p>
    <w:p w14:paraId="4A3F1F79" w14:textId="738F8B73" w:rsidR="00C1056D" w:rsidRPr="00690A48" w:rsidRDefault="00C1056D" w:rsidP="00DC7F93">
      <w:pPr>
        <w:pStyle w:val="Bullet1"/>
        <w:spacing w:before="120" w:after="120"/>
        <w:ind w:left="567"/>
      </w:pPr>
      <w:r w:rsidRPr="00690A48">
        <w:t xml:space="preserve">Reliable sources include clinical guidelines, university publications, and peak body websites (see </w:t>
      </w:r>
      <w:hyperlink w:anchor="_Reputable_sources_for" w:history="1">
        <w:r w:rsidRPr="00C778DF">
          <w:rPr>
            <w:rStyle w:val="Hyperlink"/>
            <w:rFonts w:cstheme="minorHAnsi"/>
            <w:i/>
          </w:rPr>
          <w:t>reputable sources</w:t>
        </w:r>
      </w:hyperlink>
      <w:r w:rsidRPr="00690A48">
        <w:t xml:space="preserve"> section below).</w:t>
      </w:r>
    </w:p>
    <w:p w14:paraId="72A73B0C" w14:textId="2F4EA2E1" w:rsidR="00C1056D" w:rsidRPr="00B74E48" w:rsidRDefault="00C1056D" w:rsidP="00DC7F93">
      <w:pPr>
        <w:pStyle w:val="Bullet1"/>
        <w:spacing w:before="120" w:after="120"/>
        <w:ind w:left="567"/>
        <w:rPr>
          <w:i/>
          <w:iCs/>
        </w:rPr>
      </w:pPr>
      <w:r w:rsidRPr="00690A48">
        <w:t>With respect to the age of the research, use current and contemporary evidence.</w:t>
      </w:r>
    </w:p>
    <w:p w14:paraId="76CB6821" w14:textId="4F41DAED" w:rsidR="00B74E48" w:rsidRPr="00690A48" w:rsidRDefault="00B74E48" w:rsidP="00DC7F93">
      <w:pPr>
        <w:pStyle w:val="Bullet1"/>
        <w:spacing w:before="120" w:after="120"/>
        <w:ind w:left="567"/>
        <w:rPr>
          <w:i/>
          <w:iCs/>
        </w:rPr>
      </w:pPr>
      <w:r w:rsidRPr="00690A48">
        <w:t>“</w:t>
      </w:r>
      <w:r w:rsidRPr="00690A48">
        <w:rPr>
          <w:i/>
          <w:iCs/>
        </w:rPr>
        <w:t>A conflict of interest exists in a situation where an independent observer might reasonably conclude that the professional actions of a person are or may be unduly influenced by other</w:t>
      </w:r>
      <w:r>
        <w:rPr>
          <w:i/>
          <w:iCs/>
        </w:rPr>
        <w:t xml:space="preserve"> interest”</w:t>
      </w:r>
      <w:r w:rsidR="00B9649B" w:rsidRPr="00B9649B">
        <w:rPr>
          <w:iCs/>
        </w:rPr>
        <w:t xml:space="preserve"> (NHMRC,</w:t>
      </w:r>
      <w:r w:rsidR="00B16D55" w:rsidRPr="00B9649B">
        <w:rPr>
          <w:iCs/>
        </w:rPr>
        <w:t xml:space="preserve"> </w:t>
      </w:r>
      <w:r w:rsidR="00B9649B" w:rsidRPr="00B9649B">
        <w:rPr>
          <w:iCs/>
        </w:rPr>
        <w:t>2019).</w:t>
      </w:r>
      <w:r w:rsidR="00B9649B">
        <w:rPr>
          <w:iCs/>
        </w:rPr>
        <w:t xml:space="preserve"> </w:t>
      </w:r>
      <w:r>
        <w:rPr>
          <w:iCs/>
        </w:rPr>
        <w:t>Conflicts of interest can be financial or non-financial.</w:t>
      </w:r>
    </w:p>
    <w:p w14:paraId="20F4C884" w14:textId="77777777" w:rsidR="00C1056D" w:rsidRPr="00690A48" w:rsidRDefault="00C1056D" w:rsidP="004F6CAA">
      <w:pPr>
        <w:pStyle w:val="Heading3"/>
        <w:spacing w:before="480"/>
      </w:pPr>
      <w:bookmarkStart w:id="6" w:name="_2.2_Practice-based_evidence"/>
      <w:bookmarkEnd w:id="6"/>
      <w:r w:rsidRPr="00690A48">
        <w:t>2.2 Practice-based evidence</w:t>
      </w:r>
    </w:p>
    <w:p w14:paraId="6897A09D" w14:textId="77777777" w:rsidR="00D0330B" w:rsidRDefault="00C1056D" w:rsidP="008C0762">
      <w:pPr>
        <w:rPr>
          <w:rFonts w:cstheme="minorHAnsi"/>
        </w:rPr>
      </w:pPr>
      <w:r w:rsidRPr="009E00FE">
        <w:rPr>
          <w:rFonts w:cstheme="minorHAnsi"/>
        </w:rPr>
        <w:t xml:space="preserve">Practice-based evidence </w:t>
      </w:r>
      <w:r w:rsidRPr="00690A48">
        <w:rPr>
          <w:rFonts w:cstheme="minorHAnsi"/>
        </w:rPr>
        <w:t xml:space="preserve">involves the gathering of evidence during practice. </w:t>
      </w:r>
    </w:p>
    <w:p w14:paraId="69BD2B72" w14:textId="6D68CD44" w:rsidR="00C1056D" w:rsidRPr="00690A48" w:rsidRDefault="00C1056D" w:rsidP="00FA0FAF">
      <w:pPr>
        <w:spacing w:after="120"/>
        <w:rPr>
          <w:rFonts w:cstheme="minorHAnsi"/>
        </w:rPr>
      </w:pPr>
      <w:r w:rsidRPr="00690A48">
        <w:rPr>
          <w:rFonts w:cstheme="minorHAnsi"/>
        </w:rPr>
        <w:t>This can include:</w:t>
      </w:r>
    </w:p>
    <w:p w14:paraId="193896CC" w14:textId="77777777" w:rsidR="00C1056D" w:rsidRPr="00690A48" w:rsidRDefault="00C1056D" w:rsidP="00DC7F93">
      <w:pPr>
        <w:pStyle w:val="Bullet1"/>
        <w:spacing w:before="120" w:after="120"/>
        <w:ind w:left="567"/>
      </w:pPr>
      <w:r w:rsidRPr="00690A48">
        <w:t>Collecting data as part of routine practice and using that data to evaluate the effectiveness of interventions or approaches over time.</w:t>
      </w:r>
    </w:p>
    <w:p w14:paraId="2AFDD68B" w14:textId="77777777" w:rsidR="00C1056D" w:rsidRPr="00690A48" w:rsidRDefault="00C1056D" w:rsidP="00DC7F93">
      <w:pPr>
        <w:pStyle w:val="Bullet1"/>
        <w:spacing w:before="120" w:after="120"/>
        <w:ind w:left="567"/>
      </w:pPr>
      <w:r w:rsidRPr="00690A48">
        <w:t>Obtaining regular feedback from the individual participant to evaluate whether their desired outcomes are being achieved by the particular intervention or approach.</w:t>
      </w:r>
    </w:p>
    <w:p w14:paraId="671C6271" w14:textId="4FA931B5" w:rsidR="00C1056D" w:rsidRPr="00690A48" w:rsidRDefault="00C1056D" w:rsidP="00D0330B">
      <w:pPr>
        <w:spacing w:after="120"/>
        <w:rPr>
          <w:rFonts w:cstheme="minorHAnsi"/>
        </w:rPr>
      </w:pPr>
      <w:r w:rsidRPr="00690A48">
        <w:rPr>
          <w:rFonts w:cstheme="minorHAnsi"/>
        </w:rPr>
        <w:t xml:space="preserve">Providers </w:t>
      </w:r>
      <w:r w:rsidR="00E45669">
        <w:rPr>
          <w:rFonts w:cstheme="minorHAnsi"/>
        </w:rPr>
        <w:t xml:space="preserve">and workers </w:t>
      </w:r>
      <w:r w:rsidRPr="00690A48">
        <w:rPr>
          <w:rFonts w:cstheme="minorHAnsi"/>
        </w:rPr>
        <w:t>should not rely solely on practice-based evidence unless there are gaps in the research evidence / literature or existing practices have not achieved the desired outcomes. In such circumstances</w:t>
      </w:r>
      <w:r w:rsidR="0069026A">
        <w:rPr>
          <w:rFonts w:cstheme="minorHAnsi"/>
        </w:rPr>
        <w:t xml:space="preserve">, </w:t>
      </w:r>
      <w:r w:rsidRPr="00690A48">
        <w:rPr>
          <w:rFonts w:cstheme="minorHAnsi"/>
        </w:rPr>
        <w:t xml:space="preserve">providers are encourage to refer to </w:t>
      </w:r>
      <w:hyperlink w:anchor="_Reputable_sources_for" w:history="1">
        <w:r w:rsidRPr="00C778DF">
          <w:rPr>
            <w:rStyle w:val="Hyperlink"/>
            <w:rFonts w:cstheme="minorHAnsi"/>
            <w:i/>
          </w:rPr>
          <w:t>reputable sources</w:t>
        </w:r>
      </w:hyperlink>
      <w:r w:rsidRPr="00690A48">
        <w:rPr>
          <w:rFonts w:cstheme="minorHAnsi"/>
        </w:rPr>
        <w:t xml:space="preserve"> for guidance</w:t>
      </w:r>
      <w:r w:rsidR="0069026A">
        <w:rPr>
          <w:rFonts w:cstheme="minorHAnsi"/>
        </w:rPr>
        <w:t xml:space="preserve"> to prevent harm and ensure the provision of quality and safe supports</w:t>
      </w:r>
      <w:r w:rsidRPr="00690A48">
        <w:rPr>
          <w:rFonts w:cstheme="minorHAnsi"/>
        </w:rPr>
        <w:t xml:space="preserve">. </w:t>
      </w:r>
    </w:p>
    <w:p w14:paraId="46F981FC" w14:textId="256E4C31" w:rsidR="00C1056D" w:rsidRPr="00690A48" w:rsidRDefault="00C1056D" w:rsidP="00D0330B">
      <w:pPr>
        <w:spacing w:after="120"/>
        <w:rPr>
          <w:rFonts w:cstheme="minorHAnsi"/>
        </w:rPr>
      </w:pPr>
      <w:r w:rsidRPr="00690A48">
        <w:rPr>
          <w:rFonts w:cstheme="minorHAnsi"/>
        </w:rPr>
        <w:t>When collecting data and measuring participant outcomes providers should use valid and reliable tools if they are available</w:t>
      </w:r>
      <w:r w:rsidR="00912857">
        <w:rPr>
          <w:rFonts w:cstheme="minorHAnsi"/>
        </w:rPr>
        <w:t xml:space="preserve"> (Davis et al. 2018)</w:t>
      </w:r>
      <w:r w:rsidRPr="00690A48">
        <w:rPr>
          <w:rFonts w:cstheme="minorHAnsi"/>
        </w:rPr>
        <w:t>.</w:t>
      </w:r>
      <w:r w:rsidRPr="00690A48">
        <w:rPr>
          <w:rStyle w:val="FootnoteReference"/>
          <w:rFonts w:cstheme="minorHAnsi"/>
        </w:rPr>
        <w:t xml:space="preserve"> </w:t>
      </w:r>
      <w:r w:rsidRPr="00690A48">
        <w:rPr>
          <w:rFonts w:cstheme="minorHAnsi"/>
        </w:rPr>
        <w:t xml:space="preserve">Where such tools are not available, </w:t>
      </w:r>
      <w:r w:rsidR="00DD5A1E">
        <w:rPr>
          <w:rFonts w:cstheme="minorHAnsi"/>
        </w:rPr>
        <w:t xml:space="preserve">seek the participant’s views on the intervention and collect other </w:t>
      </w:r>
      <w:r w:rsidRPr="00690A48">
        <w:rPr>
          <w:rFonts w:cstheme="minorHAnsi"/>
        </w:rPr>
        <w:t xml:space="preserve">data to determine whether </w:t>
      </w:r>
      <w:r w:rsidR="00DD5A1E">
        <w:rPr>
          <w:rFonts w:cstheme="minorHAnsi"/>
        </w:rPr>
        <w:t xml:space="preserve">it </w:t>
      </w:r>
      <w:r w:rsidRPr="00690A48">
        <w:rPr>
          <w:rFonts w:cstheme="minorHAnsi"/>
        </w:rPr>
        <w:t xml:space="preserve">is having its intended effect. For example, </w:t>
      </w:r>
      <w:r w:rsidR="00DD5A1E">
        <w:rPr>
          <w:rFonts w:cstheme="minorHAnsi"/>
        </w:rPr>
        <w:t xml:space="preserve">asking the participant about the impact of an intervention and / or </w:t>
      </w:r>
      <w:r w:rsidRPr="00690A48">
        <w:rPr>
          <w:rFonts w:cstheme="minorHAnsi"/>
        </w:rPr>
        <w:t>using incident reports</w:t>
      </w:r>
      <w:r w:rsidR="004A7652">
        <w:rPr>
          <w:rFonts w:cstheme="minorHAnsi"/>
        </w:rPr>
        <w:t xml:space="preserve"> to determine whether </w:t>
      </w:r>
      <w:r w:rsidR="00DD5A1E">
        <w:rPr>
          <w:rFonts w:cstheme="minorHAnsi"/>
        </w:rPr>
        <w:t>it</w:t>
      </w:r>
      <w:r w:rsidR="004A7652">
        <w:rPr>
          <w:rFonts w:cstheme="minorHAnsi"/>
        </w:rPr>
        <w:t xml:space="preserve"> is resulting in the reduction in the use of restrictive practices.</w:t>
      </w:r>
    </w:p>
    <w:p w14:paraId="6CFC80D4" w14:textId="4069656B" w:rsidR="00C1056D" w:rsidRPr="00690A48" w:rsidRDefault="00C1056D" w:rsidP="00C1056D">
      <w:pPr>
        <w:pStyle w:val="Heading2"/>
      </w:pPr>
      <w:r w:rsidRPr="00690A48" w:rsidDel="00E45F39">
        <w:rPr>
          <w:rStyle w:val="CommentReference"/>
          <w:rFonts w:asciiTheme="minorHAnsi" w:hAnsiTheme="minorHAnsi" w:cstheme="minorHAnsi"/>
          <w:sz w:val="24"/>
          <w:szCs w:val="24"/>
        </w:rPr>
        <w:lastRenderedPageBreak/>
        <w:t xml:space="preserve"> </w:t>
      </w:r>
      <w:r w:rsidRPr="00690A48">
        <w:t xml:space="preserve">3. </w:t>
      </w:r>
      <w:r w:rsidR="002C38AB">
        <w:t>Clinical</w:t>
      </w:r>
      <w:r w:rsidRPr="00690A48">
        <w:t xml:space="preserve"> and provider expertise</w:t>
      </w:r>
    </w:p>
    <w:p w14:paraId="2DE72E84" w14:textId="12D6C0CE" w:rsidR="00C1056D" w:rsidRDefault="00C1056D" w:rsidP="00352361">
      <w:pPr>
        <w:rPr>
          <w:rFonts w:cstheme="minorHAnsi"/>
        </w:rPr>
      </w:pPr>
      <w:r w:rsidRPr="00690A48">
        <w:rPr>
          <w:rFonts w:cstheme="minorHAnsi"/>
        </w:rPr>
        <w:t xml:space="preserve">Providers, practitioners, clinicians and workers all have different experience, training, knowledge and judgement that is developed over time. This expertise can be used alongside best evidence and the participant’s perspective in deciding how an intervention or approach should be managed, developed or implemented. </w:t>
      </w:r>
    </w:p>
    <w:p w14:paraId="53AF6B30" w14:textId="79204E2E" w:rsidR="002C38AB" w:rsidRPr="00690A48" w:rsidRDefault="002C38AB" w:rsidP="00352361">
      <w:pPr>
        <w:rPr>
          <w:rFonts w:cstheme="minorHAnsi"/>
        </w:rPr>
      </w:pPr>
      <w:r>
        <w:rPr>
          <w:rFonts w:cstheme="minorHAnsi"/>
        </w:rPr>
        <w:t>NDIS providers are expected to provide supports and services in a safe and competent manner with care and skill. This includes working with the scope of their knowledge and skills.</w:t>
      </w:r>
    </w:p>
    <w:p w14:paraId="18F04E34" w14:textId="77777777" w:rsidR="00C1056D" w:rsidRPr="00690A48" w:rsidRDefault="00C1056D" w:rsidP="008C0762">
      <w:pPr>
        <w:spacing w:after="120"/>
        <w:rPr>
          <w:rFonts w:cstheme="minorHAnsi"/>
        </w:rPr>
      </w:pPr>
      <w:r w:rsidRPr="00690A48">
        <w:rPr>
          <w:rFonts w:cstheme="minorHAnsi"/>
        </w:rPr>
        <w:t>If you do not have the right qualifications or enough professional expertise to meet the person’s needs in an evidence-informed way:</w:t>
      </w:r>
    </w:p>
    <w:p w14:paraId="3CEF07F8" w14:textId="464B90EF" w:rsidR="005A5109" w:rsidRDefault="005A5109" w:rsidP="00DC7F93">
      <w:pPr>
        <w:pStyle w:val="Bullet1"/>
        <w:spacing w:before="120" w:after="120"/>
        <w:ind w:left="567"/>
      </w:pPr>
      <w:r>
        <w:t>Talk to the participant about options to identify the person or provider that has the right qualifications and expertise to provide the support they need, and facilitate access to that support if appropriate.</w:t>
      </w:r>
    </w:p>
    <w:p w14:paraId="05AF1098" w14:textId="472953C7" w:rsidR="00EF2B68" w:rsidRPr="00EF2B68" w:rsidRDefault="005A5109" w:rsidP="00DC7F93">
      <w:pPr>
        <w:pStyle w:val="Bullet1"/>
        <w:spacing w:before="120" w:after="120"/>
        <w:ind w:left="567"/>
      </w:pPr>
      <w:r>
        <w:t>W</w:t>
      </w:r>
      <w:r w:rsidR="00EF2B68" w:rsidRPr="00EF2B68">
        <w:t xml:space="preserve">here appropriate </w:t>
      </w:r>
      <w:r w:rsidR="00EF2B68">
        <w:t xml:space="preserve">build strategies into </w:t>
      </w:r>
      <w:r w:rsidR="00EF2B68" w:rsidRPr="00EF2B68">
        <w:t>your continuing professional development plan</w:t>
      </w:r>
      <w:r>
        <w:t xml:space="preserve"> in discussion with your supervisor or line manager</w:t>
      </w:r>
      <w:r w:rsidR="00EF2B68" w:rsidRPr="00EF2B68">
        <w:t>.</w:t>
      </w:r>
    </w:p>
    <w:p w14:paraId="55F4E8F8" w14:textId="19563F56" w:rsidR="00C1056D" w:rsidRPr="00690A48" w:rsidRDefault="00C1056D" w:rsidP="00DC7F93">
      <w:pPr>
        <w:pStyle w:val="Bullet1"/>
        <w:spacing w:before="120" w:after="120"/>
        <w:ind w:left="567"/>
      </w:pPr>
      <w:r w:rsidRPr="00690A48">
        <w:t>Engage</w:t>
      </w:r>
      <w:r w:rsidR="00352361">
        <w:t xml:space="preserve"> and collaborate</w:t>
      </w:r>
      <w:r w:rsidRPr="00690A48">
        <w:t xml:space="preserve"> with practitioners, clinicians and providers who have the skills to provide care, and who are qualified to do so</w:t>
      </w:r>
      <w:r w:rsidR="008C0762">
        <w:t>.</w:t>
      </w:r>
      <w:r w:rsidR="00B16D55">
        <w:t xml:space="preserve"> For example, this may involve case conferencing, co-allocations, peer review and supervision process.</w:t>
      </w:r>
    </w:p>
    <w:p w14:paraId="2F9A6842" w14:textId="1BBBD563" w:rsidR="00C1056D" w:rsidRDefault="00C1056D" w:rsidP="00DC7F93">
      <w:pPr>
        <w:pStyle w:val="Bullet1"/>
        <w:spacing w:before="120" w:after="120"/>
        <w:ind w:left="567"/>
      </w:pPr>
      <w:r w:rsidRPr="00690A48">
        <w:t xml:space="preserve">Consider </w:t>
      </w:r>
      <w:r w:rsidR="005A5109">
        <w:t xml:space="preserve">your </w:t>
      </w:r>
      <w:r w:rsidRPr="00690A48">
        <w:t xml:space="preserve">scope of </w:t>
      </w:r>
      <w:r w:rsidR="005A5109">
        <w:t>practice</w:t>
      </w:r>
      <w:r w:rsidRPr="00690A48">
        <w:t xml:space="preserve"> </w:t>
      </w:r>
      <w:r w:rsidR="005A5109">
        <w:t xml:space="preserve">as an individual practitioner or worker </w:t>
      </w:r>
      <w:r w:rsidRPr="00690A48">
        <w:t>and where referrals may be required to ensure the right expertise is available</w:t>
      </w:r>
      <w:r w:rsidR="008C0762">
        <w:t>.</w:t>
      </w:r>
    </w:p>
    <w:p w14:paraId="4652F932" w14:textId="6D7F2EB6" w:rsidR="00C1056D" w:rsidRPr="00690A48" w:rsidRDefault="00C1056D" w:rsidP="004F6CAA">
      <w:pPr>
        <w:pStyle w:val="Heading2"/>
        <w:spacing w:before="480"/>
      </w:pPr>
      <w:r w:rsidRPr="00690A48">
        <w:t>4. Information from the implementing / practice context</w:t>
      </w:r>
      <w:r w:rsidR="002C38AB">
        <w:t>s</w:t>
      </w:r>
    </w:p>
    <w:p w14:paraId="782EDBE9" w14:textId="70F552F4" w:rsidR="00C1056D" w:rsidRPr="00690A48" w:rsidRDefault="00C1056D" w:rsidP="00352361">
      <w:pPr>
        <w:rPr>
          <w:rFonts w:cstheme="minorHAnsi"/>
        </w:rPr>
      </w:pPr>
      <w:r w:rsidRPr="00690A48">
        <w:rPr>
          <w:rFonts w:cstheme="minorHAnsi"/>
        </w:rPr>
        <w:t xml:space="preserve">The success of any evidence-informed practice or approach can be significantly affected by the environment. Information from the implementing / practice context can be used to influence decisions about what research </w:t>
      </w:r>
      <w:r w:rsidR="00FC4EAA">
        <w:rPr>
          <w:rFonts w:cstheme="minorHAnsi"/>
        </w:rPr>
        <w:t>can</w:t>
      </w:r>
      <w:r w:rsidR="00FC4EAA" w:rsidRPr="00690A48">
        <w:rPr>
          <w:rFonts w:cstheme="minorHAnsi"/>
        </w:rPr>
        <w:t xml:space="preserve"> </w:t>
      </w:r>
      <w:r w:rsidRPr="00690A48">
        <w:rPr>
          <w:rFonts w:cstheme="minorHAnsi"/>
        </w:rPr>
        <w:t>be adopted for practice and how research might be used or adapted to address real-world circumstances</w:t>
      </w:r>
      <w:r w:rsidR="005A5109">
        <w:rPr>
          <w:rFonts w:cstheme="minorHAnsi"/>
        </w:rPr>
        <w:t xml:space="preserve"> in accordance with the available resources</w:t>
      </w:r>
      <w:r w:rsidRPr="00690A48">
        <w:rPr>
          <w:rFonts w:cstheme="minorHAnsi"/>
        </w:rPr>
        <w:t xml:space="preserve">. </w:t>
      </w:r>
    </w:p>
    <w:p w14:paraId="65E3BA32" w14:textId="77777777" w:rsidR="00120452" w:rsidRDefault="00C1056D" w:rsidP="00352361">
      <w:pPr>
        <w:rPr>
          <w:rFonts w:cstheme="minorHAnsi"/>
        </w:rPr>
      </w:pPr>
      <w:r w:rsidRPr="00690A48">
        <w:rPr>
          <w:rFonts w:cstheme="minorHAnsi"/>
        </w:rPr>
        <w:t xml:space="preserve">Implementation science (also known as knowledge translation or translational research) offers a scientific way to monitor the implementation or uptake of a practice, policy or approach. There are various models, frameworks and tools that can be tailored </w:t>
      </w:r>
      <w:r w:rsidR="00CC7467">
        <w:rPr>
          <w:rFonts w:cstheme="minorHAnsi"/>
        </w:rPr>
        <w:t>to meet the needs of different practice contexts. They may</w:t>
      </w:r>
      <w:r w:rsidRPr="00690A48">
        <w:rPr>
          <w:rFonts w:cstheme="minorHAnsi"/>
        </w:rPr>
        <w:t xml:space="preserve"> </w:t>
      </w:r>
      <w:r w:rsidR="00CC7467">
        <w:rPr>
          <w:rFonts w:cstheme="minorHAnsi"/>
        </w:rPr>
        <w:t>help providers to identify and address barriers and enablers to the</w:t>
      </w:r>
      <w:r w:rsidRPr="00690A48">
        <w:rPr>
          <w:rFonts w:cstheme="minorHAnsi"/>
        </w:rPr>
        <w:t xml:space="preserve"> delivery of supports (see </w:t>
      </w:r>
      <w:hyperlink w:anchor="_Practice_resources" w:history="1">
        <w:r w:rsidRPr="00C778DF">
          <w:rPr>
            <w:rStyle w:val="Hyperlink"/>
            <w:rFonts w:cstheme="minorHAnsi"/>
            <w:i/>
          </w:rPr>
          <w:t>Practice Resources</w:t>
        </w:r>
      </w:hyperlink>
      <w:r w:rsidRPr="00690A48">
        <w:rPr>
          <w:rFonts w:cstheme="minorHAnsi"/>
        </w:rPr>
        <w:t xml:space="preserve"> </w:t>
      </w:r>
      <w:r w:rsidR="00C778DF">
        <w:rPr>
          <w:rFonts w:cstheme="minorHAnsi"/>
        </w:rPr>
        <w:t xml:space="preserve">section </w:t>
      </w:r>
      <w:r w:rsidRPr="00690A48">
        <w:rPr>
          <w:rFonts w:cstheme="minorHAnsi"/>
        </w:rPr>
        <w:t xml:space="preserve">below). </w:t>
      </w:r>
      <w:r w:rsidR="00120452">
        <w:rPr>
          <w:rFonts w:cstheme="minorHAnsi"/>
        </w:rPr>
        <w:t xml:space="preserve"> </w:t>
      </w:r>
    </w:p>
    <w:p w14:paraId="6817624F" w14:textId="00D41089" w:rsidR="00120452" w:rsidRPr="00690A48" w:rsidRDefault="00120452" w:rsidP="00352361">
      <w:pPr>
        <w:rPr>
          <w:rFonts w:cstheme="minorHAnsi"/>
        </w:rPr>
      </w:pPr>
      <w:r>
        <w:rPr>
          <w:rFonts w:cstheme="minorHAnsi"/>
        </w:rPr>
        <w:t xml:space="preserve">The </w:t>
      </w:r>
      <w:hyperlink r:id="rId18" w:history="1">
        <w:r>
          <w:rPr>
            <w:rStyle w:val="Hyperlink"/>
            <w:rFonts w:cstheme="minorHAnsi"/>
          </w:rPr>
          <w:t>NDIS W</w:t>
        </w:r>
        <w:r w:rsidRPr="00120452">
          <w:rPr>
            <w:rStyle w:val="Hyperlink"/>
            <w:rFonts w:cstheme="minorHAnsi"/>
          </w:rPr>
          <w:t>orker Capability Framework</w:t>
        </w:r>
      </w:hyperlink>
      <w:r>
        <w:rPr>
          <w:rFonts w:cstheme="minorHAnsi"/>
        </w:rPr>
        <w:t xml:space="preserve"> includes a range of supervisory and management tools to support best practice thinking and design of service models.</w:t>
      </w:r>
    </w:p>
    <w:p w14:paraId="6D368266" w14:textId="77777777" w:rsidR="00144366" w:rsidRDefault="00144366">
      <w:pPr>
        <w:suppressAutoHyphens w:val="0"/>
        <w:spacing w:before="120" w:after="120" w:line="240" w:lineRule="auto"/>
        <w:rPr>
          <w:rFonts w:asciiTheme="majorHAnsi" w:eastAsia="Times New Roman" w:hAnsiTheme="majorHAnsi" w:cstheme="majorBidi"/>
          <w:b/>
          <w:color w:val="612C69"/>
          <w:sz w:val="40"/>
          <w:szCs w:val="40"/>
        </w:rPr>
      </w:pPr>
      <w:r>
        <w:rPr>
          <w:rFonts w:eastAsia="Times New Roman"/>
        </w:rPr>
        <w:br w:type="page"/>
      </w:r>
    </w:p>
    <w:p w14:paraId="71688FF9" w14:textId="4BF766FB" w:rsidR="00C1056D" w:rsidRPr="00690A48" w:rsidRDefault="00C1056D" w:rsidP="00C778DF">
      <w:pPr>
        <w:pStyle w:val="Heading1"/>
        <w:spacing w:before="480"/>
        <w:rPr>
          <w:rFonts w:eastAsia="Times New Roman"/>
        </w:rPr>
      </w:pPr>
      <w:r w:rsidRPr="00690A48">
        <w:rPr>
          <w:rFonts w:eastAsia="Times New Roman"/>
        </w:rPr>
        <w:lastRenderedPageBreak/>
        <w:t>Why is evidence important?</w:t>
      </w:r>
    </w:p>
    <w:p w14:paraId="19A37F43" w14:textId="12F89085" w:rsidR="00144366" w:rsidRDefault="00C1056D" w:rsidP="004F6CAA">
      <w:pPr>
        <w:spacing w:before="120"/>
        <w:rPr>
          <w:rFonts w:cstheme="minorHAnsi"/>
          <w:noProof/>
          <w:lang w:eastAsia="en-AU"/>
        </w:rPr>
      </w:pPr>
      <w:r w:rsidRPr="00690A48">
        <w:rPr>
          <w:rStyle w:val="normaltextrun"/>
          <w:rFonts w:cstheme="minorHAnsi"/>
        </w:rPr>
        <w:t xml:space="preserve">An evidence-informed approach means participants’ needs are met in the best possible way, and their human rights and dignity upheld. </w:t>
      </w:r>
      <w:r w:rsidR="00144366">
        <w:rPr>
          <w:rStyle w:val="normaltextrun"/>
          <w:rFonts w:cstheme="minorHAnsi"/>
        </w:rPr>
        <w:t xml:space="preserve">As shown in </w:t>
      </w:r>
      <w:r w:rsidR="005C5F81">
        <w:rPr>
          <w:rStyle w:val="normaltextrun"/>
          <w:rFonts w:cstheme="minorHAnsi"/>
        </w:rPr>
        <w:t>F</w:t>
      </w:r>
      <w:r w:rsidR="00144366">
        <w:rPr>
          <w:rStyle w:val="normaltextrun"/>
          <w:rFonts w:cstheme="minorHAnsi"/>
        </w:rPr>
        <w:t>igure 3, u</w:t>
      </w:r>
      <w:r w:rsidRPr="00690A48">
        <w:rPr>
          <w:rStyle w:val="normaltextrun"/>
          <w:rFonts w:cstheme="minorHAnsi"/>
        </w:rPr>
        <w:t>sing evidence helps NDIS providers</w:t>
      </w:r>
      <w:r w:rsidR="000B06E5">
        <w:rPr>
          <w:rStyle w:val="normaltextrun"/>
          <w:rFonts w:cstheme="minorHAnsi"/>
        </w:rPr>
        <w:t xml:space="preserve"> and workers</w:t>
      </w:r>
      <w:r w:rsidRPr="00690A48">
        <w:rPr>
          <w:rStyle w:val="normaltextrun"/>
          <w:rFonts w:cstheme="minorHAnsi"/>
        </w:rPr>
        <w:t xml:space="preserve"> to</w:t>
      </w:r>
      <w:r w:rsidR="000B06E5">
        <w:rPr>
          <w:rStyle w:val="normaltextrun"/>
          <w:rFonts w:cstheme="minorHAnsi"/>
        </w:rPr>
        <w:t xml:space="preserve"> provide quality supports</w:t>
      </w:r>
      <w:r w:rsidR="00144366">
        <w:rPr>
          <w:rStyle w:val="normaltextrun"/>
          <w:rFonts w:cstheme="minorHAnsi"/>
        </w:rPr>
        <w:t xml:space="preserve">. It helps them to 1. Do more of ‘what works’ 2. Explain the ‘why’ and 3. Continuously learn </w:t>
      </w:r>
      <w:r w:rsidR="00144366">
        <w:rPr>
          <w:rFonts w:cstheme="minorHAnsi"/>
          <w:noProof/>
          <w:lang w:eastAsia="en-AU"/>
        </w:rPr>
        <w:t>and improve together.</w:t>
      </w:r>
      <w:r w:rsidR="00912857">
        <w:rPr>
          <w:rFonts w:cstheme="minorHAnsi"/>
          <w:noProof/>
          <w:lang w:eastAsia="en-AU"/>
        </w:rPr>
        <w:t xml:space="preserve"> </w:t>
      </w:r>
    </w:p>
    <w:p w14:paraId="2399A12F" w14:textId="34BE837E" w:rsidR="004F6CAA" w:rsidRDefault="003B2A6B" w:rsidP="003B2A6B">
      <w:pPr>
        <w:spacing w:before="120"/>
        <w:jc w:val="center"/>
        <w:rPr>
          <w:rFonts w:cstheme="minorHAnsi"/>
          <w:noProof/>
          <w:lang w:eastAsia="en-AU"/>
        </w:rPr>
      </w:pPr>
      <w:r>
        <w:rPr>
          <w:noProof/>
          <w:lang w:eastAsia="en-AU"/>
        </w:rPr>
        <w:drawing>
          <wp:inline distT="0" distB="0" distL="0" distR="0" wp14:anchorId="17FA5C7F" wp14:editId="40614914">
            <wp:extent cx="3918381" cy="2234046"/>
            <wp:effectExtent l="0" t="0" r="6350" b="0"/>
            <wp:docPr id="1" name="Picture 1" descr="A diagram showing a list of three elements along an arch. &#10;They read 1. Do more of 'what works'.  &#10;2. Explain the 'why. &#10;3. continuously learn and improv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32004" cy="2241813"/>
                    </a:xfrm>
                    <a:prstGeom prst="rect">
                      <a:avLst/>
                    </a:prstGeom>
                  </pic:spPr>
                </pic:pic>
              </a:graphicData>
            </a:graphic>
          </wp:inline>
        </w:drawing>
      </w:r>
    </w:p>
    <w:p w14:paraId="6704B533" w14:textId="323D07A6" w:rsidR="004F6CAA" w:rsidRDefault="004F6CAA" w:rsidP="00427CD3">
      <w:pPr>
        <w:pStyle w:val="Caption"/>
      </w:pPr>
      <w:r>
        <w:t>Figure 3: Why is evidence important</w:t>
      </w:r>
    </w:p>
    <w:p w14:paraId="6A5B460A" w14:textId="6FED7871" w:rsidR="005C5F81" w:rsidRDefault="004C0583" w:rsidP="004C0583">
      <w:pPr>
        <w:spacing w:before="0"/>
        <w:jc w:val="center"/>
        <w:rPr>
          <w:rFonts w:cstheme="minorHAnsi"/>
          <w:noProof/>
          <w:lang w:eastAsia="en-AU"/>
        </w:rPr>
      </w:pPr>
      <w:r>
        <w:rPr>
          <w:rFonts w:cstheme="minorHAnsi"/>
          <w:noProof/>
          <w:lang w:eastAsia="en-AU"/>
        </w:rPr>
        <w:t xml:space="preserve">Source: </w:t>
      </w:r>
      <w:r w:rsidR="005C5F81">
        <w:rPr>
          <w:rFonts w:cstheme="minorHAnsi"/>
          <w:noProof/>
          <w:lang w:eastAsia="en-AU"/>
        </w:rPr>
        <w:t>Adapted from NSW Department of Communities and Justice</w:t>
      </w:r>
      <w:r>
        <w:rPr>
          <w:rFonts w:cstheme="minorHAnsi"/>
          <w:noProof/>
          <w:lang w:eastAsia="en-AU"/>
        </w:rPr>
        <w:t xml:space="preserve"> (</w:t>
      </w:r>
      <w:r w:rsidR="005C5F81">
        <w:rPr>
          <w:rFonts w:cstheme="minorHAnsi"/>
          <w:noProof/>
          <w:lang w:eastAsia="en-AU"/>
        </w:rPr>
        <w:t>2022).</w:t>
      </w:r>
    </w:p>
    <w:p w14:paraId="14394E2A" w14:textId="2E4565E7" w:rsidR="00B31FA7" w:rsidRPr="00154D24" w:rsidRDefault="00154D24" w:rsidP="00154D24">
      <w:pPr>
        <w:pStyle w:val="Heading2"/>
        <w:rPr>
          <w:rStyle w:val="normaltextrun"/>
        </w:rPr>
      </w:pPr>
      <w:r w:rsidRPr="00154D24">
        <w:rPr>
          <w:rStyle w:val="normaltextrun"/>
        </w:rPr>
        <w:t xml:space="preserve">1. </w:t>
      </w:r>
      <w:r w:rsidR="00C1056D" w:rsidRPr="00154D24">
        <w:rPr>
          <w:rStyle w:val="normaltextrun"/>
        </w:rPr>
        <w:t xml:space="preserve">Do more of ‘what works’. </w:t>
      </w:r>
    </w:p>
    <w:p w14:paraId="60F2E7D5" w14:textId="787DFBFF" w:rsidR="00C1056D" w:rsidRPr="00B31FA7" w:rsidRDefault="00C1056D" w:rsidP="00352361">
      <w:pPr>
        <w:rPr>
          <w:rStyle w:val="normaltextrun"/>
          <w:rFonts w:cstheme="minorHAnsi"/>
        </w:rPr>
      </w:pPr>
      <w:r w:rsidRPr="00B31FA7">
        <w:rPr>
          <w:rStyle w:val="normaltextrun"/>
          <w:rFonts w:cstheme="minorHAnsi"/>
        </w:rPr>
        <w:t>Using evidence:</w:t>
      </w:r>
    </w:p>
    <w:p w14:paraId="61B4CD83" w14:textId="77777777" w:rsidR="00C1056D" w:rsidRPr="00B31FA7" w:rsidRDefault="00C1056D" w:rsidP="00DC7F93">
      <w:pPr>
        <w:pStyle w:val="Bullet1"/>
        <w:spacing w:before="120" w:after="120"/>
        <w:ind w:left="567"/>
        <w:rPr>
          <w:rStyle w:val="normaltextrun"/>
          <w:rFonts w:cstheme="minorHAnsi"/>
        </w:rPr>
      </w:pPr>
      <w:r w:rsidRPr="00B31FA7">
        <w:rPr>
          <w:rStyle w:val="normaltextrun"/>
          <w:rFonts w:cstheme="minorHAnsi"/>
        </w:rPr>
        <w:t>Helps to provide services that meet the needs of participants and communities.</w:t>
      </w:r>
    </w:p>
    <w:p w14:paraId="582AD427" w14:textId="77777777" w:rsidR="00154E23" w:rsidRDefault="00C1056D" w:rsidP="00154E23">
      <w:pPr>
        <w:pStyle w:val="Bullet1"/>
        <w:spacing w:before="120" w:after="120"/>
        <w:ind w:left="567"/>
        <w:rPr>
          <w:rStyle w:val="normaltextrun"/>
          <w:rFonts w:cstheme="minorHAnsi"/>
        </w:rPr>
      </w:pPr>
      <w:r w:rsidRPr="00B31FA7">
        <w:rPr>
          <w:rStyle w:val="normaltextrun"/>
          <w:rFonts w:cstheme="minorHAnsi"/>
        </w:rPr>
        <w:t xml:space="preserve">Informs participants’ </w:t>
      </w:r>
      <w:r w:rsidR="00154E23">
        <w:rPr>
          <w:rStyle w:val="normaltextrun"/>
          <w:rFonts w:cstheme="minorHAnsi"/>
        </w:rPr>
        <w:t xml:space="preserve">and / or provider </w:t>
      </w:r>
      <w:r w:rsidRPr="00B31FA7">
        <w:rPr>
          <w:rStyle w:val="normaltextrun"/>
          <w:rFonts w:cstheme="minorHAnsi"/>
        </w:rPr>
        <w:t>decision making.</w:t>
      </w:r>
    </w:p>
    <w:p w14:paraId="4006B88D" w14:textId="4DF964F5" w:rsidR="00B24673" w:rsidRDefault="00C1056D" w:rsidP="00154E23">
      <w:pPr>
        <w:pStyle w:val="Bullet1"/>
        <w:spacing w:before="120" w:after="120"/>
        <w:ind w:left="567"/>
        <w:rPr>
          <w:rStyle w:val="normaltextrun"/>
          <w:rFonts w:cstheme="minorHAnsi"/>
        </w:rPr>
      </w:pPr>
      <w:r w:rsidRPr="00154E23">
        <w:rPr>
          <w:rStyle w:val="normaltextrun"/>
          <w:rFonts w:cstheme="minorHAnsi"/>
        </w:rPr>
        <w:t>Can help avoid harmful or ineffective approaches.</w:t>
      </w:r>
    </w:p>
    <w:p w14:paraId="5016EBFA" w14:textId="3CD75DEB" w:rsidR="00C1056D" w:rsidRPr="00154D24" w:rsidRDefault="00154D24" w:rsidP="00154D24">
      <w:pPr>
        <w:pStyle w:val="Heading2"/>
        <w:rPr>
          <w:rStyle w:val="normaltextrun"/>
        </w:rPr>
      </w:pPr>
      <w:r w:rsidRPr="00154D24">
        <w:rPr>
          <w:rStyle w:val="normaltextrun"/>
        </w:rPr>
        <w:t xml:space="preserve">2. </w:t>
      </w:r>
      <w:r w:rsidR="00C1056D" w:rsidRPr="00154D24">
        <w:rPr>
          <w:rStyle w:val="normaltextrun"/>
        </w:rPr>
        <w:t>Explain the ‘why’</w:t>
      </w:r>
    </w:p>
    <w:p w14:paraId="1A67A5C5" w14:textId="08E9603C" w:rsidR="00C1056D" w:rsidRPr="00B31FA7" w:rsidRDefault="00C1056D" w:rsidP="00DC7F93">
      <w:pPr>
        <w:pStyle w:val="Bullet1"/>
        <w:spacing w:before="120" w:after="120"/>
        <w:ind w:left="567"/>
        <w:rPr>
          <w:rStyle w:val="normaltextrun"/>
          <w:rFonts w:cstheme="minorHAnsi"/>
        </w:rPr>
      </w:pPr>
      <w:r w:rsidRPr="00B31FA7">
        <w:rPr>
          <w:rStyle w:val="normaltextrun"/>
          <w:rFonts w:cstheme="minorHAnsi"/>
        </w:rPr>
        <w:t xml:space="preserve">Using evidence helps to explain how outcomes will be achieved, why particular approaches are being </w:t>
      </w:r>
      <w:r w:rsidR="000B06E5">
        <w:rPr>
          <w:rStyle w:val="normaltextrun"/>
          <w:rFonts w:cstheme="minorHAnsi"/>
        </w:rPr>
        <w:t>proposed</w:t>
      </w:r>
      <w:r w:rsidRPr="00B31FA7">
        <w:rPr>
          <w:rStyle w:val="normaltextrun"/>
          <w:rFonts w:cstheme="minorHAnsi"/>
        </w:rPr>
        <w:t xml:space="preserve">, or why a particular service is </w:t>
      </w:r>
      <w:r w:rsidR="000B06E5">
        <w:rPr>
          <w:rStyle w:val="normaltextrun"/>
          <w:rFonts w:cstheme="minorHAnsi"/>
        </w:rPr>
        <w:t>needed</w:t>
      </w:r>
      <w:r w:rsidRPr="00B31FA7">
        <w:rPr>
          <w:rStyle w:val="normaltextrun"/>
          <w:rFonts w:cstheme="minorHAnsi"/>
        </w:rPr>
        <w:t>.</w:t>
      </w:r>
    </w:p>
    <w:p w14:paraId="154F4924" w14:textId="6FDEEFAE" w:rsidR="00C1056D" w:rsidRPr="00154D24" w:rsidRDefault="00154D24" w:rsidP="00154D24">
      <w:pPr>
        <w:pStyle w:val="Heading2"/>
        <w:rPr>
          <w:rStyle w:val="normaltextrun"/>
        </w:rPr>
      </w:pPr>
      <w:r w:rsidRPr="00154D24">
        <w:rPr>
          <w:rStyle w:val="normaltextrun"/>
        </w:rPr>
        <w:t xml:space="preserve">3. </w:t>
      </w:r>
      <w:r w:rsidR="00C1056D" w:rsidRPr="00154D24">
        <w:rPr>
          <w:rStyle w:val="normaltextrun"/>
        </w:rPr>
        <w:t>Continuously learn and improve together</w:t>
      </w:r>
    </w:p>
    <w:p w14:paraId="5A012E51" w14:textId="65028583" w:rsidR="00B31FA7" w:rsidRDefault="00C1056D" w:rsidP="00DC7F93">
      <w:pPr>
        <w:pStyle w:val="Bullet1"/>
        <w:spacing w:before="120" w:after="120"/>
        <w:ind w:left="567"/>
        <w:rPr>
          <w:rStyle w:val="normaltextrun"/>
          <w:rFonts w:cstheme="minorHAnsi"/>
        </w:rPr>
      </w:pPr>
      <w:r w:rsidRPr="00B31FA7">
        <w:rPr>
          <w:rStyle w:val="normaltextrun"/>
          <w:rFonts w:cstheme="minorHAnsi"/>
        </w:rPr>
        <w:t>Using and collating evidence</w:t>
      </w:r>
      <w:r w:rsidR="00FC4EAA">
        <w:rPr>
          <w:rStyle w:val="normaltextrun"/>
          <w:rFonts w:cstheme="minorHAnsi"/>
        </w:rPr>
        <w:t xml:space="preserve"> of what works for groups or individuals</w:t>
      </w:r>
      <w:r w:rsidRPr="00B31FA7">
        <w:rPr>
          <w:rStyle w:val="normaltextrun"/>
          <w:rFonts w:cstheme="minorHAnsi"/>
        </w:rPr>
        <w:t xml:space="preserve"> helps to continuously improve </w:t>
      </w:r>
      <w:r w:rsidR="000B06E5">
        <w:rPr>
          <w:rStyle w:val="normaltextrun"/>
          <w:rFonts w:cstheme="minorHAnsi"/>
        </w:rPr>
        <w:t xml:space="preserve">the quality of supports and </w:t>
      </w:r>
      <w:r w:rsidRPr="00B31FA7">
        <w:rPr>
          <w:rStyle w:val="normaltextrun"/>
          <w:rFonts w:cstheme="minorHAnsi"/>
        </w:rPr>
        <w:t>services.</w:t>
      </w:r>
    </w:p>
    <w:p w14:paraId="5C615722" w14:textId="252193A1" w:rsidR="00C1056D" w:rsidRPr="00B31FA7" w:rsidRDefault="00C1056D" w:rsidP="00DC7F93">
      <w:pPr>
        <w:pStyle w:val="Bullet1"/>
        <w:spacing w:before="120" w:after="120"/>
        <w:ind w:left="567"/>
      </w:pPr>
      <w:r w:rsidRPr="00B31FA7">
        <w:rPr>
          <w:rStyle w:val="normaltextrun"/>
          <w:rFonts w:cstheme="minorHAnsi"/>
        </w:rPr>
        <w:t>Undertak</w:t>
      </w:r>
      <w:r w:rsidR="00B24673">
        <w:rPr>
          <w:rStyle w:val="normaltextrun"/>
          <w:rFonts w:cstheme="minorHAnsi"/>
        </w:rPr>
        <w:t>ing</w:t>
      </w:r>
      <w:r w:rsidRPr="00B31FA7">
        <w:rPr>
          <w:rStyle w:val="normaltextrun"/>
          <w:rFonts w:cstheme="minorHAnsi"/>
        </w:rPr>
        <w:t xml:space="preserve"> </w:t>
      </w:r>
      <w:hyperlink r:id="rId20" w:anchor="paragraph-id-5142" w:history="1">
        <w:r w:rsidRPr="00154E23">
          <w:rPr>
            <w:rStyle w:val="Hyperlink"/>
            <w:rFonts w:cstheme="minorHAnsi"/>
          </w:rPr>
          <w:t>Practice Reviews</w:t>
        </w:r>
      </w:hyperlink>
      <w:r w:rsidRPr="00B31FA7">
        <w:rPr>
          <w:rStyle w:val="normaltextrun"/>
          <w:rFonts w:cstheme="minorHAnsi"/>
        </w:rPr>
        <w:t xml:space="preserve"> as part of continuous quality improvement and incident management</w:t>
      </w:r>
      <w:r w:rsidR="00B24673">
        <w:rPr>
          <w:rStyle w:val="normaltextrun"/>
          <w:rFonts w:cstheme="minorHAnsi"/>
        </w:rPr>
        <w:t xml:space="preserve"> ensures that services and supports are </w:t>
      </w:r>
      <w:r w:rsidR="00154E23">
        <w:rPr>
          <w:rStyle w:val="normaltextrun"/>
          <w:rFonts w:cstheme="minorHAnsi"/>
        </w:rPr>
        <w:t>safe</w:t>
      </w:r>
      <w:r w:rsidR="00B24673">
        <w:rPr>
          <w:rStyle w:val="normaltextrun"/>
          <w:rFonts w:cstheme="minorHAnsi"/>
        </w:rPr>
        <w:t xml:space="preserve"> and meet the person’s needs</w:t>
      </w:r>
      <w:r w:rsidRPr="00B31FA7">
        <w:rPr>
          <w:rStyle w:val="normaltextrun"/>
          <w:rFonts w:cstheme="minorHAnsi"/>
        </w:rPr>
        <w:t>.</w:t>
      </w:r>
    </w:p>
    <w:p w14:paraId="75C8E1A5" w14:textId="77777777" w:rsidR="003A2CDE" w:rsidRDefault="003A2CDE">
      <w:pPr>
        <w:suppressAutoHyphens w:val="0"/>
        <w:spacing w:before="120" w:after="120" w:line="240" w:lineRule="auto"/>
        <w:rPr>
          <w:rFonts w:asciiTheme="majorHAnsi" w:eastAsia="Times New Roman" w:hAnsiTheme="majorHAnsi" w:cstheme="majorBidi"/>
          <w:b/>
          <w:color w:val="612C69"/>
          <w:sz w:val="40"/>
          <w:szCs w:val="40"/>
        </w:rPr>
      </w:pPr>
      <w:r>
        <w:rPr>
          <w:rFonts w:eastAsia="Times New Roman"/>
        </w:rPr>
        <w:br w:type="page"/>
      </w:r>
    </w:p>
    <w:p w14:paraId="6D7D30CF" w14:textId="280C2A8B" w:rsidR="00C1056D" w:rsidRPr="00690A48" w:rsidRDefault="00C1056D" w:rsidP="003F3015">
      <w:pPr>
        <w:pStyle w:val="Heading1"/>
        <w:spacing w:before="480"/>
        <w:rPr>
          <w:rFonts w:eastAsia="Times New Roman"/>
        </w:rPr>
      </w:pPr>
      <w:r w:rsidRPr="00690A48">
        <w:rPr>
          <w:rFonts w:eastAsia="Times New Roman"/>
        </w:rPr>
        <w:lastRenderedPageBreak/>
        <w:t>How to do evidence-informed practice</w:t>
      </w:r>
    </w:p>
    <w:p w14:paraId="76C66B5C" w14:textId="5DA58EDD" w:rsidR="00C1056D" w:rsidRDefault="00C1056D" w:rsidP="00D11A59">
      <w:pPr>
        <w:spacing w:after="0"/>
      </w:pPr>
      <w:r w:rsidRPr="00690A48">
        <w:t>There are five key steps for undertaking evidence-informed practice</w:t>
      </w:r>
      <w:r w:rsidR="005C5F81" w:rsidRPr="005C5F81">
        <w:t xml:space="preserve"> </w:t>
      </w:r>
      <w:r w:rsidR="005C5F81">
        <w:t>(adapted from Straus et al. 2011)</w:t>
      </w:r>
      <w:r w:rsidR="00C778DF">
        <w:t>.</w:t>
      </w:r>
      <w:r w:rsidR="005C5F81">
        <w:t xml:space="preserve"> These are shown in F</w:t>
      </w:r>
      <w:r w:rsidRPr="00690A48">
        <w:t xml:space="preserve">igure </w:t>
      </w:r>
      <w:r w:rsidR="00144366">
        <w:t>4</w:t>
      </w:r>
      <w:r w:rsidRPr="00690A48">
        <w:t>:</w:t>
      </w:r>
    </w:p>
    <w:p w14:paraId="1B5DA56D" w14:textId="3ACE7B32" w:rsidR="00D11A59" w:rsidRPr="00690A48" w:rsidRDefault="003B2A6B" w:rsidP="003B2A6B">
      <w:pPr>
        <w:spacing w:after="0"/>
        <w:jc w:val="center"/>
      </w:pPr>
      <w:r>
        <w:rPr>
          <w:noProof/>
          <w:lang w:eastAsia="en-AU"/>
        </w:rPr>
        <w:drawing>
          <wp:inline distT="0" distB="0" distL="0" distR="0" wp14:anchorId="7B96BF3C" wp14:editId="71806795">
            <wp:extent cx="3131178" cy="2552700"/>
            <wp:effectExtent l="0" t="0" r="0" b="0"/>
            <wp:docPr id="11" name="Picture 11" descr="A diagram showing five boxes arranged in a multi-directional cycle. In sequence the boxes read 1. Ask. 2. Acquire. 3. Appraise. 4. Apply. 5. Ass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141160" cy="2560838"/>
                    </a:xfrm>
                    <a:prstGeom prst="rect">
                      <a:avLst/>
                    </a:prstGeom>
                    <a:noFill/>
                  </pic:spPr>
                </pic:pic>
              </a:graphicData>
            </a:graphic>
          </wp:inline>
        </w:drawing>
      </w:r>
    </w:p>
    <w:p w14:paraId="2D11EBB4" w14:textId="22A4F73F" w:rsidR="005C5F81" w:rsidRDefault="004A7652" w:rsidP="005C5F81">
      <w:pPr>
        <w:spacing w:before="120" w:after="0"/>
        <w:jc w:val="center"/>
      </w:pPr>
      <w:r>
        <w:t xml:space="preserve">Figure </w:t>
      </w:r>
      <w:r w:rsidR="00144366">
        <w:t>4</w:t>
      </w:r>
      <w:r>
        <w:t xml:space="preserve">: Steps in </w:t>
      </w:r>
      <w:r w:rsidR="00F41988">
        <w:t>e</w:t>
      </w:r>
      <w:r>
        <w:t>vidence-informed practice</w:t>
      </w:r>
    </w:p>
    <w:p w14:paraId="34FC7CD1" w14:textId="1B692DE2" w:rsidR="00352361" w:rsidRPr="00352361" w:rsidRDefault="00352361" w:rsidP="005C5F81">
      <w:pPr>
        <w:pStyle w:val="Heading2"/>
      </w:pPr>
      <w:r w:rsidRPr="00352361">
        <w:rPr>
          <w:rStyle w:val="Heading2Char"/>
          <w:b/>
        </w:rPr>
        <w:t xml:space="preserve">1. </w:t>
      </w:r>
      <w:r w:rsidR="00C1056D" w:rsidRPr="00352361">
        <w:rPr>
          <w:rStyle w:val="Heading2Char"/>
          <w:b/>
        </w:rPr>
        <w:t>A</w:t>
      </w:r>
      <w:r w:rsidR="00D80474">
        <w:rPr>
          <w:rStyle w:val="Heading2Char"/>
          <w:b/>
        </w:rPr>
        <w:t>sk</w:t>
      </w:r>
    </w:p>
    <w:p w14:paraId="00024D35" w14:textId="5BC2D97B" w:rsidR="00C1056D" w:rsidRPr="00352361" w:rsidRDefault="00C1056D" w:rsidP="00686149">
      <w:pPr>
        <w:rPr>
          <w:color w:val="000000"/>
        </w:rPr>
      </w:pPr>
      <w:r w:rsidRPr="00352361">
        <w:t xml:space="preserve">Formulate a specific question to be answered. </w:t>
      </w:r>
    </w:p>
    <w:p w14:paraId="1FA49CE7" w14:textId="77777777" w:rsidR="000B06E5" w:rsidRPr="00690A48" w:rsidRDefault="000B06E5" w:rsidP="00DC7F93">
      <w:pPr>
        <w:pStyle w:val="Bullet1"/>
        <w:spacing w:before="120" w:after="120"/>
        <w:ind w:left="567"/>
      </w:pPr>
      <w:r w:rsidRPr="00690A48">
        <w:t>Ask the participant and their supporters what approaches and outcomes are important to them.</w:t>
      </w:r>
    </w:p>
    <w:p w14:paraId="7358976F" w14:textId="77777777" w:rsidR="00C1056D" w:rsidRPr="00690A48" w:rsidRDefault="00C1056D" w:rsidP="00DC7F93">
      <w:pPr>
        <w:pStyle w:val="Bullet1"/>
        <w:spacing w:before="120" w:after="120"/>
        <w:ind w:left="567"/>
      </w:pPr>
      <w:r w:rsidRPr="00690A48">
        <w:t>Define the situation, topic or problem area.</w:t>
      </w:r>
    </w:p>
    <w:p w14:paraId="28B66B79" w14:textId="77777777" w:rsidR="00C1056D" w:rsidRPr="00690A48" w:rsidRDefault="00C1056D" w:rsidP="00DC7F93">
      <w:pPr>
        <w:pStyle w:val="Bullet1"/>
        <w:spacing w:before="120" w:after="120"/>
        <w:ind w:left="567"/>
      </w:pPr>
      <w:r w:rsidRPr="00690A48">
        <w:t>Identify any specific disability, age or other characteristics of the person or population you are interested in.</w:t>
      </w:r>
    </w:p>
    <w:p w14:paraId="7945C2D1" w14:textId="77777777" w:rsidR="00C1056D" w:rsidRPr="00690A48" w:rsidRDefault="00C1056D" w:rsidP="00DC7F93">
      <w:pPr>
        <w:pStyle w:val="Bullet1"/>
        <w:spacing w:before="120" w:after="120"/>
        <w:ind w:left="567"/>
      </w:pPr>
      <w:r w:rsidRPr="00690A48">
        <w:t>Consider if you want to compare specific approaches or interventions.</w:t>
      </w:r>
    </w:p>
    <w:p w14:paraId="28993AA6" w14:textId="2E7B344E" w:rsidR="00352361" w:rsidRDefault="00667FCB" w:rsidP="004A7652">
      <w:pPr>
        <w:pStyle w:val="Heading2"/>
        <w:spacing w:after="120"/>
      </w:pPr>
      <w:r>
        <w:t xml:space="preserve">2. </w:t>
      </w:r>
      <w:r w:rsidR="00C1056D" w:rsidRPr="00690A48">
        <w:t>A</w:t>
      </w:r>
      <w:r w:rsidR="00D80474">
        <w:t>cquire</w:t>
      </w:r>
    </w:p>
    <w:p w14:paraId="02659630" w14:textId="76877B79" w:rsidR="00C1056D" w:rsidRPr="00667FCB" w:rsidRDefault="00C1056D" w:rsidP="00686149">
      <w:r w:rsidRPr="00667FCB">
        <w:t xml:space="preserve">Search for the best possible evidence from high quality sources (see </w:t>
      </w:r>
      <w:hyperlink w:anchor="_Reputable_sources_for" w:history="1">
        <w:r w:rsidRPr="009E00FE">
          <w:rPr>
            <w:rStyle w:val="Hyperlink"/>
            <w:rFonts w:cstheme="minorHAnsi"/>
            <w:i/>
          </w:rPr>
          <w:t>reputable sources</w:t>
        </w:r>
      </w:hyperlink>
      <w:r w:rsidRPr="00667FCB">
        <w:t xml:space="preserve"> below). </w:t>
      </w:r>
    </w:p>
    <w:p w14:paraId="0E3F6072" w14:textId="77777777" w:rsidR="00C1056D" w:rsidRPr="00667FCB" w:rsidRDefault="00C1056D" w:rsidP="00DC7F93">
      <w:pPr>
        <w:pStyle w:val="Bullet1"/>
        <w:spacing w:before="120" w:after="120"/>
        <w:ind w:left="567"/>
      </w:pPr>
      <w:r w:rsidRPr="00667FCB">
        <w:t>Use the best research evidence available to inform your supports and services.</w:t>
      </w:r>
    </w:p>
    <w:p w14:paraId="3063A0F3" w14:textId="771335D5" w:rsidR="00C1056D" w:rsidRPr="00667FCB" w:rsidRDefault="00C1056D" w:rsidP="00DC7F93">
      <w:pPr>
        <w:pStyle w:val="Bullet1"/>
        <w:spacing w:before="120" w:after="120"/>
        <w:ind w:left="567"/>
      </w:pPr>
      <w:r w:rsidRPr="00667FCB">
        <w:t>Where there are gaps in the research evidence, review practice-based evidence and seek advice from professionals who have the appropriate exper</w:t>
      </w:r>
      <w:r w:rsidR="000B06E5">
        <w:t>tise</w:t>
      </w:r>
      <w:r w:rsidRPr="00667FCB">
        <w:t>.</w:t>
      </w:r>
    </w:p>
    <w:p w14:paraId="40C48BC9" w14:textId="4156ACE2" w:rsidR="00352361" w:rsidRDefault="00667FCB" w:rsidP="004A7652">
      <w:pPr>
        <w:pStyle w:val="Heading2"/>
        <w:spacing w:after="120"/>
      </w:pPr>
      <w:r>
        <w:t xml:space="preserve">3. </w:t>
      </w:r>
      <w:r w:rsidR="00C1056D" w:rsidRPr="00690A48">
        <w:t>A</w:t>
      </w:r>
      <w:r w:rsidR="00D80474">
        <w:t>ppraise</w:t>
      </w:r>
    </w:p>
    <w:p w14:paraId="15CDD773" w14:textId="77777777" w:rsidR="004A7652" w:rsidRDefault="00C1056D" w:rsidP="004A7652">
      <w:pPr>
        <w:spacing w:before="120" w:after="0"/>
        <w:rPr>
          <w:rFonts w:asciiTheme="majorHAnsi" w:hAnsiTheme="majorHAnsi" w:cstheme="majorHAnsi"/>
        </w:rPr>
      </w:pPr>
      <w:r w:rsidRPr="00667FCB">
        <w:rPr>
          <w:rFonts w:asciiTheme="majorHAnsi" w:hAnsiTheme="majorHAnsi" w:cstheme="majorHAnsi"/>
        </w:rPr>
        <w:t xml:space="preserve">Appraise the evidence for its quality (see </w:t>
      </w:r>
      <w:hyperlink w:anchor="_2._1_Evidence" w:history="1">
        <w:r w:rsidRPr="009E00FE">
          <w:rPr>
            <w:rStyle w:val="Hyperlink"/>
            <w:rFonts w:asciiTheme="majorHAnsi" w:hAnsiTheme="majorHAnsi" w:cstheme="majorHAnsi"/>
            <w:i/>
          </w:rPr>
          <w:t>evidence hierarchy</w:t>
        </w:r>
      </w:hyperlink>
      <w:r w:rsidRPr="00667FCB">
        <w:rPr>
          <w:rFonts w:asciiTheme="majorHAnsi" w:hAnsiTheme="majorHAnsi" w:cstheme="majorHAnsi"/>
        </w:rPr>
        <w:t xml:space="preserve"> above) and relevance to the situation.</w:t>
      </w:r>
    </w:p>
    <w:p w14:paraId="382B1BC7" w14:textId="2C38B03D" w:rsidR="00C1056D" w:rsidRPr="004A7652" w:rsidRDefault="00667FCB" w:rsidP="00DC7F93">
      <w:pPr>
        <w:pStyle w:val="Bullet1"/>
        <w:spacing w:before="120" w:after="0"/>
        <w:ind w:left="567"/>
      </w:pPr>
      <w:r w:rsidRPr="004A7652">
        <w:t>I</w:t>
      </w:r>
      <w:r w:rsidR="00C1056D" w:rsidRPr="004A7652">
        <w:t xml:space="preserve">nclude the participant’s perspectives and the particular service context when appraising the evidence and the situation. </w:t>
      </w:r>
    </w:p>
    <w:p w14:paraId="42438BD6" w14:textId="4FB7C8BB" w:rsidR="00352361" w:rsidRDefault="00667FCB" w:rsidP="008C72D0">
      <w:pPr>
        <w:pStyle w:val="Heading2"/>
        <w:spacing w:after="120"/>
      </w:pPr>
      <w:r>
        <w:lastRenderedPageBreak/>
        <w:t xml:space="preserve">4. </w:t>
      </w:r>
      <w:r w:rsidR="00C1056D" w:rsidRPr="00690A48">
        <w:t>A</w:t>
      </w:r>
      <w:r w:rsidR="00D80474">
        <w:t>pply</w:t>
      </w:r>
    </w:p>
    <w:p w14:paraId="68D56F24" w14:textId="7214F6BA" w:rsidR="00C1056D" w:rsidRPr="00690A48" w:rsidRDefault="00C1056D" w:rsidP="008C72D0">
      <w:pPr>
        <w:spacing w:before="120" w:after="0"/>
      </w:pPr>
      <w:r w:rsidRPr="00352361">
        <w:t xml:space="preserve">Apply the evidence in </w:t>
      </w:r>
      <w:r w:rsidR="00B24673">
        <w:t xml:space="preserve">line with the person’s values and preference and in </w:t>
      </w:r>
      <w:r w:rsidRPr="00352361">
        <w:t>combination with professional experience</w:t>
      </w:r>
      <w:r w:rsidR="00B24673">
        <w:t xml:space="preserve"> and skill.</w:t>
      </w:r>
    </w:p>
    <w:p w14:paraId="43DA0648" w14:textId="074DC4D6" w:rsidR="00352361" w:rsidRDefault="00667FCB" w:rsidP="008C72D0">
      <w:pPr>
        <w:pStyle w:val="Heading2"/>
        <w:spacing w:after="120"/>
      </w:pPr>
      <w:r>
        <w:t xml:space="preserve">5. </w:t>
      </w:r>
      <w:r w:rsidR="00C1056D" w:rsidRPr="00690A48">
        <w:t>A</w:t>
      </w:r>
      <w:r w:rsidR="00D80474">
        <w:t>ssess</w:t>
      </w:r>
    </w:p>
    <w:p w14:paraId="590E28EB" w14:textId="5F4D77E7" w:rsidR="00667FCB" w:rsidRPr="008C72D0" w:rsidRDefault="00C1056D" w:rsidP="008C72D0">
      <w:pPr>
        <w:tabs>
          <w:tab w:val="left" w:pos="6946"/>
        </w:tabs>
        <w:spacing w:before="120" w:after="0"/>
        <w:rPr>
          <w:rFonts w:cstheme="minorHAnsi"/>
        </w:rPr>
      </w:pPr>
      <w:r w:rsidRPr="008C72D0">
        <w:rPr>
          <w:rFonts w:cstheme="minorHAnsi"/>
        </w:rPr>
        <w:t>Assess the effectiveness of the approach and ways to improve next time</w:t>
      </w:r>
      <w:r w:rsidR="000B06E5">
        <w:rPr>
          <w:rFonts w:cstheme="minorHAnsi"/>
        </w:rPr>
        <w:t>, taking into account the participant’s views and preferences</w:t>
      </w:r>
      <w:r w:rsidRPr="008C72D0">
        <w:rPr>
          <w:rFonts w:cstheme="minorHAnsi"/>
        </w:rPr>
        <w:t>.</w:t>
      </w:r>
    </w:p>
    <w:p w14:paraId="2FDF12D3" w14:textId="4BB889DC" w:rsidR="00C1056D" w:rsidRPr="00690A48" w:rsidRDefault="00C1056D" w:rsidP="00D63426">
      <w:pPr>
        <w:pStyle w:val="Heading1"/>
        <w:spacing w:before="480"/>
        <w:rPr>
          <w:rFonts w:eastAsia="Times New Roman"/>
        </w:rPr>
      </w:pPr>
      <w:bookmarkStart w:id="7" w:name="_Supporting_participants"/>
      <w:bookmarkEnd w:id="7"/>
      <w:r w:rsidRPr="00690A48">
        <w:rPr>
          <w:rFonts w:eastAsia="Times New Roman"/>
        </w:rPr>
        <w:t>Supporting participants</w:t>
      </w:r>
    </w:p>
    <w:p w14:paraId="1BE1E86B" w14:textId="29A14F9F" w:rsidR="00C1056D" w:rsidRPr="00690A48" w:rsidRDefault="004F6CAA" w:rsidP="004F6CAA">
      <w:pPr>
        <w:spacing w:before="120" w:after="120"/>
        <w:rPr>
          <w:rFonts w:cstheme="minorHAnsi"/>
        </w:rPr>
      </w:pPr>
      <w:r>
        <w:rPr>
          <w:rFonts w:eastAsia="Times New Roman"/>
          <w:noProof/>
          <w:lang w:eastAsia="en-AU"/>
        </w:rPr>
        <mc:AlternateContent>
          <mc:Choice Requires="wps">
            <w:drawing>
              <wp:anchor distT="0" distB="0" distL="114300" distR="114300" simplePos="0" relativeHeight="251659264" behindDoc="0" locked="0" layoutInCell="1" allowOverlap="1" wp14:anchorId="6011E927" wp14:editId="5DA7CD22">
                <wp:simplePos x="0" y="0"/>
                <wp:positionH relativeFrom="column">
                  <wp:posOffset>-158750</wp:posOffset>
                </wp:positionH>
                <wp:positionV relativeFrom="paragraph">
                  <wp:posOffset>369570</wp:posOffset>
                </wp:positionV>
                <wp:extent cx="874395" cy="1536700"/>
                <wp:effectExtent l="0" t="0" r="0" b="6350"/>
                <wp:wrapSquare wrapText="bothSides"/>
                <wp:docPr id="27" name="Text Box 27" descr="decorative"/>
                <wp:cNvGraphicFramePr/>
                <a:graphic xmlns:a="http://schemas.openxmlformats.org/drawingml/2006/main">
                  <a:graphicData uri="http://schemas.microsoft.com/office/word/2010/wordprocessingShape">
                    <wps:wsp>
                      <wps:cNvSpPr txBox="1"/>
                      <wps:spPr>
                        <a:xfrm>
                          <a:off x="0" y="0"/>
                          <a:ext cx="874395" cy="1536700"/>
                        </a:xfrm>
                        <a:prstGeom prst="rect">
                          <a:avLst/>
                        </a:prstGeom>
                        <a:noFill/>
                        <a:ln w="6350">
                          <a:noFill/>
                        </a:ln>
                      </wps:spPr>
                      <wps:txbx>
                        <w:txbxContent>
                          <w:p w14:paraId="6619D095" w14:textId="769F663F" w:rsidR="004F6CAA" w:rsidRPr="00DE6222" w:rsidRDefault="004F6CAA" w:rsidP="004F6CAA">
                            <w:pPr>
                              <w:spacing w:before="600"/>
                              <w:rPr>
                                <w:color w:val="539250" w:themeColor="accent4"/>
                                <w:sz w:val="144"/>
                                <w:szCs w:val="144"/>
                              </w:rPr>
                            </w:pPr>
                            <w:r w:rsidRPr="00DE6222">
                              <w:rPr>
                                <w:color w:val="539250" w:themeColor="accent4"/>
                                <w:sz w:val="144"/>
                                <w:szCs w:val="144"/>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1E927" id="_x0000_t202" coordsize="21600,21600" o:spt="202" path="m,l,21600r21600,l21600,xe">
                <v:stroke joinstyle="miter"/>
                <v:path gradientshapeok="t" o:connecttype="rect"/>
              </v:shapetype>
              <v:shape id="Text Box 27" o:spid="_x0000_s1026" type="#_x0000_t202" alt="decorative" style="position:absolute;margin-left:-12.5pt;margin-top:29.1pt;width:68.8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" filled="f" stroked="f" strokeweight=".5pt">
                <v:textbox>
                  <w:txbxContent>
                    <w:p w14:paraId="6619D095" w14:textId="769F663F" w:rsidR="004F6CAA" w:rsidRPr="00DE6222" w:rsidRDefault="004F6CAA" w:rsidP="004F6CAA">
                      <w:pPr>
                        <w:spacing w:before="600"/>
                        <w:rPr>
                          <w:color w:val="539250" w:themeColor="accent4"/>
                          <w:sz w:val="144"/>
                          <w:szCs w:val="144"/>
                        </w:rPr>
                      </w:pPr>
                      <w:r w:rsidRPr="00DE6222">
                        <w:rPr>
                          <w:color w:val="539250" w:themeColor="accent4"/>
                          <w:sz w:val="144"/>
                          <w:szCs w:val="144"/>
                        </w:rPr>
                        <w:sym w:font="Wingdings" w:char="F0FC"/>
                      </w:r>
                    </w:p>
                  </w:txbxContent>
                </v:textbox>
                <w10:wrap type="square"/>
              </v:shape>
            </w:pict>
          </mc:Fallback>
        </mc:AlternateContent>
      </w:r>
      <w:r w:rsidR="00C1056D" w:rsidRPr="00690A48">
        <w:rPr>
          <w:rFonts w:cstheme="minorHAnsi"/>
        </w:rPr>
        <w:t xml:space="preserve">Providers should support participants to make evidence-informed decisions about their supports and services </w:t>
      </w:r>
      <w:r w:rsidR="00B16D55">
        <w:rPr>
          <w:rFonts w:cstheme="minorHAnsi"/>
        </w:rPr>
        <w:t xml:space="preserve">in accordance with supported-decision making </w:t>
      </w:r>
      <w:r w:rsidR="00154E23">
        <w:rPr>
          <w:rFonts w:cstheme="minorHAnsi"/>
        </w:rPr>
        <w:t>principles</w:t>
      </w:r>
      <w:r w:rsidR="00B16D55">
        <w:rPr>
          <w:rFonts w:cstheme="minorHAnsi"/>
        </w:rPr>
        <w:t xml:space="preserve"> </w:t>
      </w:r>
      <w:r w:rsidR="00C1056D" w:rsidRPr="00690A48">
        <w:rPr>
          <w:rFonts w:cstheme="minorHAnsi"/>
        </w:rPr>
        <w:t>by:</w:t>
      </w:r>
    </w:p>
    <w:p w14:paraId="09EB364B" w14:textId="75399245" w:rsidR="008C599D" w:rsidRDefault="00C1056D" w:rsidP="00DE6222">
      <w:pPr>
        <w:pStyle w:val="Bullet1"/>
        <w:spacing w:before="120" w:after="120"/>
        <w:ind w:left="1701" w:hanging="425"/>
      </w:pPr>
      <w:r w:rsidRPr="00690A48">
        <w:t>Explaining the best available evidence in an appropriate and accessible format</w:t>
      </w:r>
      <w:r w:rsidR="005209DA">
        <w:t>.</w:t>
      </w:r>
      <w:r w:rsidR="00B24673">
        <w:t xml:space="preserve"> </w:t>
      </w:r>
    </w:p>
    <w:p w14:paraId="006995DB" w14:textId="380DCFFE" w:rsidR="00C1056D" w:rsidRPr="00690A48" w:rsidRDefault="00C1056D" w:rsidP="00DE6222">
      <w:pPr>
        <w:pStyle w:val="Bullet1"/>
        <w:spacing w:before="120" w:after="120"/>
        <w:ind w:left="1701" w:hanging="425"/>
      </w:pPr>
      <w:r w:rsidRPr="00690A48">
        <w:t>Being transparent about the strength of the available evidence and any limitations or gaps in the evidence</w:t>
      </w:r>
      <w:r w:rsidR="005209DA">
        <w:t>.</w:t>
      </w:r>
    </w:p>
    <w:p w14:paraId="6DA6B17F" w14:textId="3F11F6CF" w:rsidR="00C1056D" w:rsidRPr="00690A48" w:rsidRDefault="00C1056D" w:rsidP="00DE6222">
      <w:pPr>
        <w:pStyle w:val="Bullet1"/>
        <w:spacing w:before="120" w:after="120"/>
        <w:ind w:left="1701" w:hanging="425"/>
      </w:pPr>
      <w:r w:rsidRPr="00690A48">
        <w:t>Presenting the different options available supported by the evidence</w:t>
      </w:r>
      <w:r w:rsidR="005209DA">
        <w:t>.</w:t>
      </w:r>
    </w:p>
    <w:p w14:paraId="2EF44528" w14:textId="2D872A29" w:rsidR="00C1056D" w:rsidRDefault="00C1056D" w:rsidP="00DE6222">
      <w:pPr>
        <w:pStyle w:val="Bullet1"/>
        <w:spacing w:before="120" w:after="120"/>
        <w:ind w:left="1701" w:hanging="425"/>
      </w:pPr>
      <w:r w:rsidRPr="00690A48">
        <w:t>Highlighting the benefits and risks of any given strategy or approach.</w:t>
      </w:r>
    </w:p>
    <w:p w14:paraId="1FECC248" w14:textId="700CAA64" w:rsidR="008C599D" w:rsidRPr="008C599D" w:rsidRDefault="008C599D" w:rsidP="00DE6222">
      <w:pPr>
        <w:pStyle w:val="Bullet1"/>
        <w:spacing w:before="120" w:after="120"/>
        <w:ind w:left="1701" w:hanging="425"/>
      </w:pPr>
      <w:r>
        <w:t>Supporting the person to be involved and respecting their right to freedom of expression, self-determination and decision-making.</w:t>
      </w:r>
    </w:p>
    <w:p w14:paraId="6C0DE6AC" w14:textId="1BC19A50" w:rsidR="00C1056D" w:rsidRPr="00690A48" w:rsidRDefault="00C1056D" w:rsidP="005209DA">
      <w:pPr>
        <w:spacing w:before="120"/>
        <w:rPr>
          <w:rFonts w:cstheme="minorHAnsi"/>
        </w:rPr>
      </w:pPr>
      <w:r w:rsidRPr="00690A48">
        <w:rPr>
          <w:rFonts w:cstheme="minorHAnsi"/>
        </w:rPr>
        <w:t>Where a participant has expressed interest in an intervention or approach that is kn</w:t>
      </w:r>
      <w:r w:rsidR="00D41245">
        <w:rPr>
          <w:rFonts w:cstheme="minorHAnsi"/>
        </w:rPr>
        <w:t xml:space="preserve">own to be unproven or harmful, </w:t>
      </w:r>
      <w:r w:rsidRPr="00690A48">
        <w:rPr>
          <w:rFonts w:cstheme="minorHAnsi"/>
        </w:rPr>
        <w:t xml:space="preserve">NDIS providers should </w:t>
      </w:r>
      <w:r w:rsidR="00D41245">
        <w:rPr>
          <w:rFonts w:cstheme="minorHAnsi"/>
        </w:rPr>
        <w:t>discuss</w:t>
      </w:r>
      <w:r w:rsidRPr="00690A48">
        <w:rPr>
          <w:rFonts w:cstheme="minorHAnsi"/>
        </w:rPr>
        <w:t xml:space="preserve"> these risks</w:t>
      </w:r>
      <w:r w:rsidR="00320636">
        <w:rPr>
          <w:rFonts w:cstheme="minorHAnsi"/>
        </w:rPr>
        <w:t xml:space="preserve"> with the person</w:t>
      </w:r>
      <w:r w:rsidRPr="00690A48">
        <w:rPr>
          <w:rFonts w:cstheme="minorHAnsi"/>
        </w:rPr>
        <w:t xml:space="preserve"> and promote evidence-informed alternatives. </w:t>
      </w:r>
      <w:r w:rsidR="00320636">
        <w:rPr>
          <w:rFonts w:cstheme="minorHAnsi"/>
        </w:rPr>
        <w:t xml:space="preserve">In doing so </w:t>
      </w:r>
      <w:r w:rsidR="003315AC">
        <w:rPr>
          <w:rFonts w:cstheme="minorHAnsi"/>
        </w:rPr>
        <w:t xml:space="preserve">the principle of </w:t>
      </w:r>
      <w:r w:rsidR="00320636">
        <w:rPr>
          <w:rFonts w:cstheme="minorHAnsi"/>
        </w:rPr>
        <w:t>dignity of risk must be balanced with the provider</w:t>
      </w:r>
      <w:r w:rsidR="006631EF">
        <w:rPr>
          <w:rFonts w:cstheme="minorHAnsi"/>
        </w:rPr>
        <w:t>’</w:t>
      </w:r>
      <w:r w:rsidR="00320636">
        <w:rPr>
          <w:rFonts w:cstheme="minorHAnsi"/>
        </w:rPr>
        <w:t xml:space="preserve">s </w:t>
      </w:r>
      <w:r w:rsidR="003315AC">
        <w:rPr>
          <w:rFonts w:cstheme="minorHAnsi"/>
        </w:rPr>
        <w:t xml:space="preserve">safeguarding, </w:t>
      </w:r>
      <w:r w:rsidR="00320636">
        <w:rPr>
          <w:rFonts w:cstheme="minorHAnsi"/>
        </w:rPr>
        <w:t xml:space="preserve">legal and ethical </w:t>
      </w:r>
      <w:r w:rsidR="003315AC">
        <w:rPr>
          <w:rFonts w:cstheme="minorHAnsi"/>
        </w:rPr>
        <w:t>responsibilities</w:t>
      </w:r>
      <w:r w:rsidR="00320636">
        <w:rPr>
          <w:rFonts w:cstheme="minorHAnsi"/>
        </w:rPr>
        <w:t xml:space="preserve">. </w:t>
      </w:r>
      <w:r w:rsidRPr="00690A48">
        <w:rPr>
          <w:rFonts w:cstheme="minorHAnsi"/>
        </w:rPr>
        <w:t xml:space="preserve">This may </w:t>
      </w:r>
      <w:r w:rsidR="00320636">
        <w:rPr>
          <w:rFonts w:cstheme="minorHAnsi"/>
        </w:rPr>
        <w:t>necessitate</w:t>
      </w:r>
      <w:r w:rsidR="000B06E5">
        <w:rPr>
          <w:rFonts w:cstheme="minorHAnsi"/>
        </w:rPr>
        <w:t xml:space="preserve"> a</w:t>
      </w:r>
      <w:r w:rsidRPr="00690A48">
        <w:rPr>
          <w:rFonts w:cstheme="minorHAnsi"/>
        </w:rPr>
        <w:t xml:space="preserve"> referral to other professional</w:t>
      </w:r>
      <w:r w:rsidR="004A7652">
        <w:rPr>
          <w:rFonts w:cstheme="minorHAnsi"/>
        </w:rPr>
        <w:t>s</w:t>
      </w:r>
      <w:r w:rsidRPr="00690A48">
        <w:rPr>
          <w:rFonts w:cstheme="minorHAnsi"/>
        </w:rPr>
        <w:t xml:space="preserve"> for specialist advice</w:t>
      </w:r>
      <w:r w:rsidR="003315AC">
        <w:rPr>
          <w:rFonts w:cstheme="minorHAnsi"/>
        </w:rPr>
        <w:t xml:space="preserve"> and support</w:t>
      </w:r>
      <w:r w:rsidRPr="00690A48">
        <w:rPr>
          <w:rFonts w:cstheme="minorHAnsi"/>
        </w:rPr>
        <w:t>.</w:t>
      </w:r>
      <w:r w:rsidR="006E6ACB">
        <w:rPr>
          <w:rFonts w:cstheme="minorHAnsi"/>
        </w:rPr>
        <w:t xml:space="preserve"> </w:t>
      </w:r>
    </w:p>
    <w:p w14:paraId="6C5737D6" w14:textId="50B2A116" w:rsidR="00C1056D" w:rsidRPr="00690A48" w:rsidRDefault="00C1056D" w:rsidP="00D63426">
      <w:pPr>
        <w:pStyle w:val="Heading1"/>
        <w:spacing w:before="480"/>
        <w:rPr>
          <w:rFonts w:eastAsia="Times New Roman"/>
        </w:rPr>
      </w:pPr>
      <w:r w:rsidRPr="00690A48">
        <w:rPr>
          <w:rFonts w:eastAsia="Times New Roman"/>
        </w:rPr>
        <w:t>What to avoid?</w:t>
      </w:r>
    </w:p>
    <w:p w14:paraId="74972C9D" w14:textId="6B759239" w:rsidR="004A7652" w:rsidRDefault="00D63426" w:rsidP="00FA1BF1">
      <w:pPr>
        <w:spacing w:after="120"/>
        <w:rPr>
          <w:rFonts w:cstheme="minorHAnsi"/>
        </w:rPr>
      </w:pPr>
      <w:r>
        <w:rPr>
          <w:rFonts w:cstheme="minorHAnsi"/>
        </w:rPr>
        <w:t>P</w:t>
      </w:r>
      <w:r w:rsidR="00C1056D" w:rsidRPr="00690A48">
        <w:rPr>
          <w:rFonts w:cstheme="minorHAnsi"/>
        </w:rPr>
        <w:t>roviders should be particularly cautious about “fad</w:t>
      </w:r>
      <w:r w:rsidR="005209DA">
        <w:rPr>
          <w:rFonts w:cstheme="minorHAnsi"/>
        </w:rPr>
        <w:t>s</w:t>
      </w:r>
      <w:r w:rsidR="00C1056D" w:rsidRPr="00690A48">
        <w:rPr>
          <w:rFonts w:cstheme="minorHAnsi"/>
        </w:rPr>
        <w:t>”. A “fad” is an intervention or approach that quickly grow</w:t>
      </w:r>
      <w:r w:rsidR="00FA1BF1">
        <w:rPr>
          <w:rFonts w:cstheme="minorHAnsi"/>
        </w:rPr>
        <w:t>s</w:t>
      </w:r>
      <w:r w:rsidR="00C1056D" w:rsidRPr="00690A48">
        <w:rPr>
          <w:rFonts w:cstheme="minorHAnsi"/>
        </w:rPr>
        <w:t xml:space="preserve"> in popularity but has no scientific evidence to support its effectiveness</w:t>
      </w:r>
      <w:r w:rsidR="004C0583">
        <w:rPr>
          <w:rFonts w:cstheme="minorHAnsi"/>
        </w:rPr>
        <w:t xml:space="preserve"> </w:t>
      </w:r>
      <w:r w:rsidR="004C0583">
        <w:t>(Jackson, 2016)</w:t>
      </w:r>
      <w:r w:rsidR="00C1056D" w:rsidRPr="00690A48">
        <w:rPr>
          <w:rFonts w:cstheme="minorHAnsi"/>
        </w:rPr>
        <w:t xml:space="preserve">. </w:t>
      </w:r>
      <w:r w:rsidR="00FA1BF1">
        <w:rPr>
          <w:rFonts w:cstheme="minorHAnsi"/>
        </w:rPr>
        <w:t xml:space="preserve"> </w:t>
      </w:r>
    </w:p>
    <w:p w14:paraId="275C7AF9" w14:textId="29DEAFD2" w:rsidR="00C1056D" w:rsidRDefault="00C1056D" w:rsidP="00FA1BF1">
      <w:pPr>
        <w:spacing w:after="120"/>
        <w:rPr>
          <w:rFonts w:cstheme="minorHAnsi"/>
        </w:rPr>
      </w:pPr>
      <w:r w:rsidRPr="00690A48">
        <w:rPr>
          <w:rFonts w:cstheme="minorHAnsi"/>
        </w:rPr>
        <w:t>It is important to maintain a level of caution, even scepticism about interventions that:</w:t>
      </w:r>
    </w:p>
    <w:p w14:paraId="706A1E80" w14:textId="1D52EDC4" w:rsidR="004C0583" w:rsidRDefault="00D63426" w:rsidP="00562905">
      <w:pPr>
        <w:pStyle w:val="Bullet1"/>
        <w:spacing w:before="120" w:after="120"/>
        <w:ind w:left="1701" w:hanging="425"/>
      </w:pPr>
      <w:r>
        <w:rPr>
          <w:rFonts w:eastAsia="Times New Roman"/>
          <w:noProof/>
          <w:lang w:eastAsia="en-AU"/>
        </w:rPr>
        <mc:AlternateContent>
          <mc:Choice Requires="wps">
            <w:drawing>
              <wp:anchor distT="0" distB="0" distL="114300" distR="114300" simplePos="0" relativeHeight="251661312" behindDoc="0" locked="0" layoutInCell="1" allowOverlap="1" wp14:anchorId="018AD627" wp14:editId="6D1D6C7A">
                <wp:simplePos x="0" y="0"/>
                <wp:positionH relativeFrom="margin">
                  <wp:align>left</wp:align>
                </wp:positionH>
                <wp:positionV relativeFrom="paragraph">
                  <wp:posOffset>187325</wp:posOffset>
                </wp:positionV>
                <wp:extent cx="648970" cy="1536700"/>
                <wp:effectExtent l="0" t="0" r="0" b="6350"/>
                <wp:wrapSquare wrapText="bothSides"/>
                <wp:docPr id="29" name="Text Box 29" descr="decorative"/>
                <wp:cNvGraphicFramePr/>
                <a:graphic xmlns:a="http://schemas.openxmlformats.org/drawingml/2006/main">
                  <a:graphicData uri="http://schemas.microsoft.com/office/word/2010/wordprocessingShape">
                    <wps:wsp>
                      <wps:cNvSpPr txBox="1"/>
                      <wps:spPr>
                        <a:xfrm>
                          <a:off x="0" y="0"/>
                          <a:ext cx="648970" cy="1536700"/>
                        </a:xfrm>
                        <a:prstGeom prst="rect">
                          <a:avLst/>
                        </a:prstGeom>
                        <a:noFill/>
                        <a:ln w="6350">
                          <a:noFill/>
                        </a:ln>
                      </wps:spPr>
                      <wps:txbx>
                        <w:txbxContent>
                          <w:p w14:paraId="23FB208C" w14:textId="77777777" w:rsidR="00DE6222" w:rsidRPr="00DE6222" w:rsidRDefault="00DE6222" w:rsidP="00DE6222">
                            <w:pPr>
                              <w:jc w:val="right"/>
                              <w:rPr>
                                <w:color w:val="5F2E74" w:themeColor="text2"/>
                                <w:sz w:val="144"/>
                                <w:szCs w:val="144"/>
                              </w:rPr>
                            </w:pPr>
                            <w:r w:rsidRPr="00DE6222">
                              <w:rPr>
                                <w:color w:val="5F2E74" w:themeColor="text2"/>
                                <w:sz w:val="144"/>
                                <w:szCs w:val="144"/>
                              </w:rPr>
                              <w:sym w:font="Wingdings" w:char="F0FB"/>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AD627" id="Text Box 29" o:spid="_x0000_s1027" type="#_x0000_t202" alt="decorative" style="position:absolute;left:0;text-align:left;margin-left:0;margin-top:14.75pt;width:51.1pt;height:1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" filled="f" stroked="f" strokeweight=".5pt">
                <v:textbox inset="0,,0">
                  <w:txbxContent>
                    <w:p w14:paraId="23FB208C" w14:textId="77777777" w:rsidR="00DE6222" w:rsidRPr="00DE6222" w:rsidRDefault="00DE6222" w:rsidP="00DE6222">
                      <w:pPr>
                        <w:jc w:val="right"/>
                        <w:rPr>
                          <w:color w:val="5F2E74" w:themeColor="text2"/>
                          <w:sz w:val="144"/>
                          <w:szCs w:val="144"/>
                        </w:rPr>
                      </w:pPr>
                      <w:r w:rsidRPr="00DE6222">
                        <w:rPr>
                          <w:color w:val="5F2E74" w:themeColor="text2"/>
                          <w:sz w:val="144"/>
                          <w:szCs w:val="144"/>
                        </w:rPr>
                        <w:sym w:font="Wingdings" w:char="F0FB"/>
                      </w:r>
                    </w:p>
                  </w:txbxContent>
                </v:textbox>
                <w10:wrap type="square" anchorx="margin"/>
              </v:shape>
            </w:pict>
          </mc:Fallback>
        </mc:AlternateContent>
      </w:r>
      <w:r w:rsidR="00C1056D" w:rsidRPr="00690A48">
        <w:t>Seem too good to be true.</w:t>
      </w:r>
    </w:p>
    <w:p w14:paraId="1892A10A" w14:textId="1A5DD8CD" w:rsidR="00DE6222" w:rsidRDefault="00DE6222" w:rsidP="00562905">
      <w:pPr>
        <w:pStyle w:val="Bullet1"/>
        <w:spacing w:before="120" w:after="120"/>
        <w:ind w:left="1701" w:hanging="425"/>
      </w:pPr>
      <w:r>
        <w:t>Promise quick fixes or “cures”.</w:t>
      </w:r>
    </w:p>
    <w:p w14:paraId="72F892FA" w14:textId="00C234DD" w:rsidR="00DE6222" w:rsidRDefault="00DE6222" w:rsidP="00DE6222">
      <w:pPr>
        <w:pStyle w:val="Bullet1"/>
        <w:spacing w:before="120" w:after="120"/>
        <w:ind w:left="1701" w:hanging="425"/>
      </w:pPr>
      <w:r>
        <w:t>Are very expensive. </w:t>
      </w:r>
    </w:p>
    <w:p w14:paraId="0C2EFE19" w14:textId="057F9EA4" w:rsidR="00DE6222" w:rsidRDefault="00C1056D" w:rsidP="00DE6222">
      <w:pPr>
        <w:pStyle w:val="Bullet1"/>
        <w:spacing w:before="120" w:after="120"/>
        <w:ind w:left="1701" w:hanging="425"/>
      </w:pPr>
      <w:r w:rsidRPr="00690A48">
        <w:t xml:space="preserve">Claim to treat or resolve a </w:t>
      </w:r>
      <w:r w:rsidR="00FA1BF1">
        <w:t>wide</w:t>
      </w:r>
      <w:r w:rsidRPr="00690A48">
        <w:t xml:space="preserve"> range of issues and conditio</w:t>
      </w:r>
      <w:r w:rsidR="00DE6222">
        <w:t>ns across ages and populations.</w:t>
      </w:r>
    </w:p>
    <w:p w14:paraId="3FF2E13F" w14:textId="6F956B27" w:rsidR="00DE6222" w:rsidRDefault="00C1056D" w:rsidP="00DE6222">
      <w:pPr>
        <w:pStyle w:val="Bullet1"/>
        <w:spacing w:before="120" w:after="120"/>
        <w:ind w:left="1701" w:hanging="425"/>
      </w:pPr>
      <w:r w:rsidRPr="00690A48">
        <w:t>Are heavily advertised and marketed</w:t>
      </w:r>
      <w:r w:rsidR="00FA1BF1">
        <w:t xml:space="preserve"> in </w:t>
      </w:r>
      <w:r w:rsidRPr="00690A48">
        <w:t>emotive and subjectiv</w:t>
      </w:r>
      <w:r w:rsidR="00FA1BF1">
        <w:t>e ways</w:t>
      </w:r>
      <w:r w:rsidR="004A7652">
        <w:t xml:space="preserve"> </w:t>
      </w:r>
      <w:r w:rsidR="00FA1BF1">
        <w:t>(</w:t>
      </w:r>
      <w:r w:rsidRPr="00690A48">
        <w:t>e.g., testimonials</w:t>
      </w:r>
      <w:r w:rsidR="00FA1BF1">
        <w:t>)</w:t>
      </w:r>
      <w:r w:rsidRPr="00690A48">
        <w:t>.</w:t>
      </w:r>
    </w:p>
    <w:p w14:paraId="277F5AA2" w14:textId="59CC1C33" w:rsidR="00912857" w:rsidRDefault="00C1056D" w:rsidP="00912857">
      <w:pPr>
        <w:pStyle w:val="Bullet1"/>
        <w:spacing w:before="120" w:after="0"/>
        <w:ind w:left="1701" w:hanging="425"/>
      </w:pPr>
      <w:r w:rsidRPr="00690A48">
        <w:t>Have not been independently reviewed or evaluated.</w:t>
      </w:r>
    </w:p>
    <w:p w14:paraId="54DBE3D7" w14:textId="3A437773" w:rsidR="00C1056D" w:rsidRPr="00690A48" w:rsidRDefault="00C1056D" w:rsidP="00D63426">
      <w:pPr>
        <w:spacing w:after="120"/>
        <w:rPr>
          <w:rFonts w:cstheme="minorHAnsi"/>
        </w:rPr>
      </w:pPr>
      <w:r w:rsidRPr="00690A48">
        <w:rPr>
          <w:rFonts w:cstheme="minorHAnsi"/>
        </w:rPr>
        <w:lastRenderedPageBreak/>
        <w:t>Consistent with the NDIS Code of Conduct and providing safe and competent supports and services, NDIS providers should</w:t>
      </w:r>
      <w:r w:rsidR="00FA1BF1">
        <w:rPr>
          <w:rFonts w:cstheme="minorHAnsi"/>
        </w:rPr>
        <w:t>:</w:t>
      </w:r>
    </w:p>
    <w:p w14:paraId="37E057E8" w14:textId="6D5F163B" w:rsidR="00FA1BF1" w:rsidRPr="00690A48" w:rsidRDefault="00FA1BF1" w:rsidP="00DC7F93">
      <w:pPr>
        <w:pStyle w:val="Bullet1"/>
        <w:spacing w:before="120" w:after="120"/>
        <w:ind w:left="567"/>
      </w:pPr>
      <w:r w:rsidRPr="00690A48">
        <w:t>Not use strategies or approaches that can cause harm to the participant or others.</w:t>
      </w:r>
    </w:p>
    <w:p w14:paraId="349938AC" w14:textId="77777777" w:rsidR="00FA1BF1" w:rsidRPr="00690A48" w:rsidRDefault="00FA1BF1" w:rsidP="00DC7F93">
      <w:pPr>
        <w:pStyle w:val="Bullet1"/>
        <w:spacing w:before="120" w:after="120"/>
        <w:ind w:left="567"/>
      </w:pPr>
      <w:r w:rsidRPr="00690A48">
        <w:t>Not use aversive or unethical approaches which impinge on participant’s rights and dignity.</w:t>
      </w:r>
    </w:p>
    <w:p w14:paraId="12C08E58" w14:textId="375E7D64" w:rsidR="00C1056D" w:rsidRPr="00690A48" w:rsidRDefault="00C1056D" w:rsidP="00DC7F93">
      <w:pPr>
        <w:pStyle w:val="Bullet1"/>
        <w:spacing w:before="120" w:after="120"/>
        <w:ind w:left="567"/>
      </w:pPr>
      <w:r w:rsidRPr="00690A48">
        <w:t>Not use strategies or approaches that have been disproven or</w:t>
      </w:r>
      <w:r w:rsidR="00FA1BF1">
        <w:t xml:space="preserve"> are known to be ineffective</w:t>
      </w:r>
      <w:r w:rsidRPr="00690A48">
        <w:t xml:space="preserve">. </w:t>
      </w:r>
    </w:p>
    <w:p w14:paraId="43D986ED" w14:textId="38BED182" w:rsidR="00C1056D" w:rsidRPr="00690A48" w:rsidRDefault="00C1056D" w:rsidP="00DC7F93">
      <w:pPr>
        <w:pStyle w:val="Bullet1"/>
        <w:spacing w:before="120" w:after="120"/>
        <w:ind w:left="567"/>
      </w:pPr>
      <w:r w:rsidRPr="00690A48">
        <w:t>N</w:t>
      </w:r>
      <w:r w:rsidR="00FA1BF1">
        <w:t>ot</w:t>
      </w:r>
      <w:r w:rsidRPr="00690A48">
        <w:t xml:space="preserve"> ignore or minimise the participant’s perspective. </w:t>
      </w:r>
    </w:p>
    <w:p w14:paraId="03932D7B" w14:textId="41AC4B7F" w:rsidR="00C1056D" w:rsidRDefault="00C1056D" w:rsidP="00DC7F93">
      <w:pPr>
        <w:pStyle w:val="Bullet1"/>
        <w:spacing w:before="120" w:after="120"/>
        <w:ind w:left="567"/>
      </w:pPr>
      <w:r w:rsidRPr="00690A48">
        <w:t xml:space="preserve">Not work beyond </w:t>
      </w:r>
      <w:r w:rsidR="00FA1BF1">
        <w:t>their</w:t>
      </w:r>
      <w:r w:rsidRPr="00690A48">
        <w:t xml:space="preserve"> scope of practice without the necessary supports and safeguards (e.g., </w:t>
      </w:r>
      <w:r w:rsidR="00A32941">
        <w:t xml:space="preserve">this could include </w:t>
      </w:r>
      <w:r w:rsidRPr="00690A48">
        <w:t xml:space="preserve">supervision). </w:t>
      </w:r>
      <w:r w:rsidR="00A32941">
        <w:t>Scope of practice</w:t>
      </w:r>
      <w:r w:rsidRPr="00690A48">
        <w:t xml:space="preserve"> means working within your knowledge, skills and experience; engaging in continuous improvement and professional development activities; and knowing when to refer on.</w:t>
      </w:r>
    </w:p>
    <w:p w14:paraId="24055D77" w14:textId="4CFD241A" w:rsidR="007840D4" w:rsidRPr="007840D4" w:rsidRDefault="007840D4" w:rsidP="00DC7F93">
      <w:pPr>
        <w:pStyle w:val="Bullet1"/>
        <w:spacing w:before="120" w:after="120"/>
        <w:ind w:left="567"/>
      </w:pPr>
      <w:r>
        <w:t xml:space="preserve">Be mindful of potential conflicts of interest </w:t>
      </w:r>
      <w:r w:rsidR="004246BF">
        <w:t>(</w:t>
      </w:r>
      <w:r>
        <w:t xml:space="preserve">e.g., </w:t>
      </w:r>
      <w:r w:rsidR="004246BF">
        <w:t xml:space="preserve">gaining benefit from </w:t>
      </w:r>
      <w:r>
        <w:t>recommend</w:t>
      </w:r>
      <w:r w:rsidR="004246BF">
        <w:t>ing a particular service and not declaring this openly)</w:t>
      </w:r>
      <w:r>
        <w:t>.</w:t>
      </w:r>
    </w:p>
    <w:p w14:paraId="5D7907DA" w14:textId="11CFC2AB" w:rsidR="005209DA" w:rsidRPr="005209DA" w:rsidRDefault="005209DA" w:rsidP="00D63426">
      <w:pPr>
        <w:spacing w:after="0"/>
        <w:rPr>
          <w:rFonts w:cstheme="minorHAnsi"/>
        </w:rPr>
      </w:pPr>
      <w:r>
        <w:rPr>
          <w:rFonts w:cstheme="minorHAnsi"/>
        </w:rPr>
        <w:t>The</w:t>
      </w:r>
      <w:r w:rsidRPr="00690A48">
        <w:rPr>
          <w:rFonts w:cstheme="minorHAnsi"/>
        </w:rPr>
        <w:t xml:space="preserve"> delivery of dangerous and disproven approaches is likely a breach of</w:t>
      </w:r>
      <w:r>
        <w:rPr>
          <w:rFonts w:cstheme="minorHAnsi"/>
        </w:rPr>
        <w:t xml:space="preserve"> the NDIS Code of Conduct and/</w:t>
      </w:r>
      <w:r w:rsidRPr="00690A48">
        <w:rPr>
          <w:rFonts w:cstheme="minorHAnsi"/>
        </w:rPr>
        <w:t xml:space="preserve">or a provider’s conditions of registration, </w:t>
      </w:r>
      <w:r>
        <w:rPr>
          <w:rFonts w:cstheme="minorHAnsi"/>
        </w:rPr>
        <w:t>and</w:t>
      </w:r>
      <w:r w:rsidRPr="00690A48">
        <w:rPr>
          <w:rFonts w:cstheme="minorHAnsi"/>
        </w:rPr>
        <w:t xml:space="preserve"> may result in</w:t>
      </w:r>
      <w:r>
        <w:rPr>
          <w:rFonts w:cstheme="minorHAnsi"/>
        </w:rPr>
        <w:t xml:space="preserve"> compliance and enforcement action.</w:t>
      </w:r>
    </w:p>
    <w:p w14:paraId="1EA2E0A8" w14:textId="745DCCCB" w:rsidR="00C1056D" w:rsidRPr="00690A48" w:rsidRDefault="0069026A" w:rsidP="00112D44">
      <w:pPr>
        <w:pStyle w:val="Heading1"/>
        <w:spacing w:before="480"/>
        <w:rPr>
          <w:rFonts w:eastAsia="Times New Roman"/>
        </w:rPr>
      </w:pPr>
      <w:bookmarkStart w:id="8" w:name="_Reputable_sources_for"/>
      <w:bookmarkEnd w:id="8"/>
      <w:r>
        <w:rPr>
          <w:rFonts w:eastAsia="Times New Roman"/>
        </w:rPr>
        <w:t>Some examples of r</w:t>
      </w:r>
      <w:r w:rsidR="00C1056D" w:rsidRPr="00690A48">
        <w:rPr>
          <w:rFonts w:eastAsia="Times New Roman"/>
        </w:rPr>
        <w:t>eputable sources for evidence</w:t>
      </w:r>
    </w:p>
    <w:p w14:paraId="69913CE9" w14:textId="77777777" w:rsidR="00C1056D" w:rsidRPr="00AF4103" w:rsidRDefault="00C1056D" w:rsidP="00D11A59">
      <w:pPr>
        <w:pStyle w:val="Bullet1"/>
      </w:pPr>
      <w:r w:rsidRPr="00686149">
        <w:t>Australian</w:t>
      </w:r>
      <w:r w:rsidRPr="00AF4103">
        <w:t xml:space="preserve"> Commissions for example:</w:t>
      </w:r>
    </w:p>
    <w:p w14:paraId="5F233B9D" w14:textId="2D0EE575" w:rsidR="002B3779" w:rsidRPr="00066EC0" w:rsidRDefault="002B3779" w:rsidP="003B2A6B">
      <w:pPr>
        <w:pStyle w:val="ListParagraph"/>
        <w:numPr>
          <w:ilvl w:val="1"/>
          <w:numId w:val="12"/>
        </w:numPr>
        <w:spacing w:before="200" w:line="280" w:lineRule="atLeast"/>
        <w:ind w:left="641" w:hanging="357"/>
        <w:contextualSpacing w:val="0"/>
        <w:rPr>
          <w:rStyle w:val="Hyperlink"/>
          <w:rFonts w:asciiTheme="minorHAnsi" w:hAnsiTheme="minorHAnsi" w:cstheme="minorHAnsi"/>
          <w:color w:val="000000" w:themeColor="text1"/>
          <w:szCs w:val="20"/>
        </w:rPr>
      </w:pPr>
      <w:r w:rsidRPr="00AF4103">
        <w:rPr>
          <w:rFonts w:asciiTheme="minorHAnsi" w:hAnsiTheme="minorHAnsi" w:cstheme="minorHAnsi"/>
        </w:rPr>
        <w:t xml:space="preserve">NDIS Quality </w:t>
      </w:r>
      <w:r>
        <w:rPr>
          <w:rFonts w:asciiTheme="minorHAnsi" w:hAnsiTheme="minorHAnsi" w:cstheme="minorHAnsi"/>
        </w:rPr>
        <w:t xml:space="preserve">and Safeguards Commission - </w:t>
      </w:r>
      <w:hyperlink r:id="rId22" w:history="1">
        <w:r w:rsidRPr="0073329B">
          <w:rPr>
            <w:rStyle w:val="Hyperlink"/>
            <w:rFonts w:asciiTheme="minorHAnsi" w:hAnsiTheme="minorHAnsi" w:cstheme="minorHAnsi"/>
          </w:rPr>
          <w:t>https://www.ndiscommission.gov.au/</w:t>
        </w:r>
      </w:hyperlink>
    </w:p>
    <w:p w14:paraId="03DA931C" w14:textId="67787C12" w:rsidR="00C1056D" w:rsidRPr="00066EC0" w:rsidRDefault="00C1056D" w:rsidP="003B2A6B">
      <w:pPr>
        <w:pStyle w:val="ListParagraph"/>
        <w:numPr>
          <w:ilvl w:val="1"/>
          <w:numId w:val="12"/>
        </w:numPr>
        <w:spacing w:before="200" w:line="280" w:lineRule="atLeast"/>
        <w:ind w:left="641" w:hanging="357"/>
        <w:contextualSpacing w:val="0"/>
        <w:rPr>
          <w:rFonts w:asciiTheme="minorHAnsi" w:hAnsiTheme="minorHAnsi" w:cstheme="minorHAnsi"/>
          <w:color w:val="000000" w:themeColor="text1"/>
        </w:rPr>
      </w:pPr>
      <w:r w:rsidRPr="00AF4103">
        <w:rPr>
          <w:rFonts w:asciiTheme="minorHAnsi" w:hAnsiTheme="minorHAnsi" w:cstheme="minorHAnsi"/>
        </w:rPr>
        <w:t>Aged Care Quality and Safety Commission</w:t>
      </w:r>
      <w:r w:rsidR="00325CC4" w:rsidRPr="00AF4103">
        <w:rPr>
          <w:rFonts w:asciiTheme="minorHAnsi" w:hAnsiTheme="minorHAnsi" w:cstheme="minorHAnsi"/>
        </w:rPr>
        <w:t xml:space="preserve"> -</w:t>
      </w:r>
      <w:r w:rsidR="00325CC4" w:rsidRPr="00AF4103">
        <w:rPr>
          <w:rStyle w:val="Hyperlink"/>
          <w:rFonts w:asciiTheme="minorHAnsi" w:hAnsiTheme="minorHAnsi" w:cstheme="minorHAnsi"/>
        </w:rPr>
        <w:t xml:space="preserve"> </w:t>
      </w:r>
      <w:hyperlink r:id="rId23" w:history="1">
        <w:r w:rsidR="00325CC4" w:rsidRPr="002851AD">
          <w:rPr>
            <w:rStyle w:val="Hyperlink"/>
            <w:rFonts w:asciiTheme="minorHAnsi" w:hAnsiTheme="minorHAnsi" w:cstheme="minorHAnsi"/>
          </w:rPr>
          <w:t>https://www.agedcarequality.gov.au/</w:t>
        </w:r>
      </w:hyperlink>
    </w:p>
    <w:p w14:paraId="734A5231" w14:textId="38A9B1FD" w:rsidR="00C1056D" w:rsidRPr="00066EC0" w:rsidRDefault="00C1056D" w:rsidP="003B2A6B">
      <w:pPr>
        <w:pStyle w:val="ListParagraph"/>
        <w:numPr>
          <w:ilvl w:val="1"/>
          <w:numId w:val="13"/>
        </w:numPr>
        <w:spacing w:before="200" w:line="280" w:lineRule="atLeast"/>
        <w:ind w:left="641" w:hanging="357"/>
        <w:contextualSpacing w:val="0"/>
        <w:rPr>
          <w:rStyle w:val="Hyperlink"/>
          <w:rFonts w:asciiTheme="minorHAnsi" w:hAnsiTheme="minorHAnsi" w:cstheme="minorHAnsi"/>
          <w:color w:val="000000" w:themeColor="text1"/>
        </w:rPr>
      </w:pPr>
      <w:r w:rsidRPr="00AF4103">
        <w:rPr>
          <w:rFonts w:asciiTheme="minorHAnsi" w:hAnsiTheme="minorHAnsi" w:cstheme="minorHAnsi"/>
        </w:rPr>
        <w:t>Australian Commission on Safety and Quality in Health Care</w:t>
      </w:r>
      <w:r w:rsidR="00325CC4" w:rsidRPr="00AF4103">
        <w:rPr>
          <w:rFonts w:asciiTheme="minorHAnsi" w:hAnsiTheme="minorHAnsi" w:cstheme="minorHAnsi"/>
        </w:rPr>
        <w:t xml:space="preserve"> -</w:t>
      </w:r>
      <w:r w:rsidR="00325CC4" w:rsidRPr="00AF4103">
        <w:rPr>
          <w:rStyle w:val="Hyperlink"/>
          <w:rFonts w:asciiTheme="minorHAnsi" w:hAnsiTheme="minorHAnsi" w:cstheme="minorHAnsi"/>
        </w:rPr>
        <w:t xml:space="preserve"> </w:t>
      </w:r>
      <w:hyperlink r:id="rId24" w:history="1">
        <w:r w:rsidR="00325CC4" w:rsidRPr="00AF4103">
          <w:rPr>
            <w:rStyle w:val="Hyperlink"/>
            <w:rFonts w:asciiTheme="minorHAnsi" w:hAnsiTheme="minorHAnsi" w:cstheme="minorHAnsi"/>
          </w:rPr>
          <w:t>https://www.safety</w:t>
        </w:r>
        <w:r w:rsidR="00D11A59">
          <w:rPr>
            <w:rStyle w:val="Hyperlink"/>
            <w:rFonts w:asciiTheme="minorHAnsi" w:hAnsiTheme="minorHAnsi" w:cstheme="minorHAnsi"/>
          </w:rPr>
          <w:t>‌</w:t>
        </w:r>
        <w:r w:rsidR="00325CC4" w:rsidRPr="00AF4103">
          <w:rPr>
            <w:rStyle w:val="Hyperlink"/>
            <w:rFonts w:asciiTheme="minorHAnsi" w:hAnsiTheme="minorHAnsi" w:cstheme="minorHAnsi"/>
          </w:rPr>
          <w:t>andquality.gov.au/</w:t>
        </w:r>
      </w:hyperlink>
    </w:p>
    <w:p w14:paraId="30B7F12C" w14:textId="5519A843" w:rsidR="00325CC4" w:rsidRPr="00066EC0" w:rsidRDefault="00325CC4" w:rsidP="003B2A6B">
      <w:pPr>
        <w:pStyle w:val="ListParagraph"/>
        <w:numPr>
          <w:ilvl w:val="1"/>
          <w:numId w:val="12"/>
        </w:numPr>
        <w:spacing w:before="200" w:line="280" w:lineRule="atLeast"/>
        <w:ind w:left="641" w:hanging="357"/>
        <w:contextualSpacing w:val="0"/>
        <w:rPr>
          <w:rFonts w:asciiTheme="minorHAnsi" w:hAnsiTheme="minorHAnsi" w:cstheme="minorHAnsi"/>
          <w:color w:val="000000" w:themeColor="text1"/>
          <w:u w:val="single"/>
        </w:rPr>
      </w:pPr>
      <w:r w:rsidRPr="00AF4103">
        <w:rPr>
          <w:rFonts w:asciiTheme="minorHAnsi" w:hAnsiTheme="minorHAnsi" w:cstheme="minorHAnsi"/>
        </w:rPr>
        <w:t xml:space="preserve">Australian Human Rights Commission - </w:t>
      </w:r>
      <w:hyperlink r:id="rId25" w:history="1">
        <w:r w:rsidRPr="00AF4103">
          <w:rPr>
            <w:rStyle w:val="Hyperlink"/>
            <w:rFonts w:asciiTheme="minorHAnsi" w:hAnsiTheme="minorHAnsi" w:cstheme="minorHAnsi"/>
          </w:rPr>
          <w:t>https://humanrights.gov.au/</w:t>
        </w:r>
      </w:hyperlink>
    </w:p>
    <w:p w14:paraId="05400469" w14:textId="75ED84A0" w:rsidR="00C1056D" w:rsidRPr="00AF4103" w:rsidRDefault="00C1056D" w:rsidP="00D11A59">
      <w:pPr>
        <w:pStyle w:val="Bullet1"/>
      </w:pPr>
      <w:r w:rsidRPr="00AF4103">
        <w:t xml:space="preserve">Australian Disability Clearinghouse on Education and Training - </w:t>
      </w:r>
      <w:hyperlink r:id="rId26" w:history="1">
        <w:r w:rsidR="00325CC4" w:rsidRPr="00AF4103">
          <w:rPr>
            <w:rStyle w:val="Hyperlink"/>
            <w:rFonts w:cstheme="minorHAnsi"/>
          </w:rPr>
          <w:t>https://www.adcet.edu.au/</w:t>
        </w:r>
      </w:hyperlink>
    </w:p>
    <w:p w14:paraId="03F5E51F" w14:textId="77777777" w:rsidR="00C1056D" w:rsidRPr="00AF4103" w:rsidRDefault="00C1056D" w:rsidP="00D11A59">
      <w:pPr>
        <w:pStyle w:val="Bullet1"/>
      </w:pPr>
      <w:r w:rsidRPr="00AF4103">
        <w:t xml:space="preserve">Australian Institute of Family Studies - </w:t>
      </w:r>
      <w:hyperlink r:id="rId27" w:history="1">
        <w:r w:rsidRPr="00AF4103">
          <w:rPr>
            <w:rStyle w:val="Hyperlink"/>
            <w:rFonts w:cstheme="minorHAnsi"/>
          </w:rPr>
          <w:t>https://aifs.gov.au</w:t>
        </w:r>
      </w:hyperlink>
    </w:p>
    <w:p w14:paraId="0B6399DA" w14:textId="57144755" w:rsidR="00C1056D" w:rsidRPr="00AF4103" w:rsidRDefault="00C1056D" w:rsidP="00D11A59">
      <w:pPr>
        <w:pStyle w:val="Bullet1"/>
        <w:rPr>
          <w:rStyle w:val="Hyperlink"/>
          <w:rFonts w:cstheme="minorHAnsi"/>
        </w:rPr>
      </w:pPr>
      <w:r w:rsidRPr="00AF4103">
        <w:t>Autism CRC</w:t>
      </w:r>
      <w:r w:rsidR="00BB44CB">
        <w:t xml:space="preserve"> (</w:t>
      </w:r>
      <w:r w:rsidR="00BB44CB" w:rsidRPr="00BB44CB">
        <w:t>Cooperative Research Centre for Living with Autism</w:t>
      </w:r>
      <w:r w:rsidR="00BB44CB">
        <w:t>)</w:t>
      </w:r>
      <w:r w:rsidRPr="00AF4103">
        <w:t xml:space="preserve"> - </w:t>
      </w:r>
      <w:hyperlink r:id="rId28" w:history="1">
        <w:r w:rsidR="00325CC4" w:rsidRPr="00AF4103">
          <w:rPr>
            <w:rStyle w:val="Hyperlink"/>
            <w:rFonts w:cstheme="minorHAnsi"/>
          </w:rPr>
          <w:t>https://www.autismcrc.</w:t>
        </w:r>
        <w:r w:rsidR="00DC7F93">
          <w:rPr>
            <w:rStyle w:val="Hyperlink"/>
            <w:rFonts w:cstheme="minorHAnsi"/>
          </w:rPr>
          <w:t>‌</w:t>
        </w:r>
        <w:r w:rsidR="00325CC4" w:rsidRPr="00AF4103">
          <w:rPr>
            <w:rStyle w:val="Hyperlink"/>
            <w:rFonts w:cstheme="minorHAnsi"/>
          </w:rPr>
          <w:t>com.au/</w:t>
        </w:r>
      </w:hyperlink>
    </w:p>
    <w:p w14:paraId="0711ED88" w14:textId="6C6224A6" w:rsidR="00C1056D" w:rsidRPr="00AF4103" w:rsidRDefault="00C1056D" w:rsidP="00D11A59">
      <w:pPr>
        <w:pStyle w:val="Bullet1"/>
      </w:pPr>
      <w:r w:rsidRPr="00AF4103">
        <w:t>Cochrane Library</w:t>
      </w:r>
      <w:r w:rsidR="00403D2D">
        <w:t xml:space="preserve"> of systematic reviews</w:t>
      </w:r>
      <w:r w:rsidRPr="00AF4103">
        <w:t xml:space="preserve"> - </w:t>
      </w:r>
      <w:hyperlink r:id="rId29" w:history="1">
        <w:r w:rsidR="00325CC4" w:rsidRPr="00AF4103">
          <w:rPr>
            <w:rStyle w:val="Hyperlink"/>
            <w:rFonts w:cstheme="minorHAnsi"/>
            <w:bCs/>
          </w:rPr>
          <w:t>https://www.cochranelibrary.com/</w:t>
        </w:r>
      </w:hyperlink>
      <w:r w:rsidR="00325CC4" w:rsidRPr="00AF4103">
        <w:t xml:space="preserve"> </w:t>
      </w:r>
    </w:p>
    <w:p w14:paraId="55D229C3" w14:textId="1B7129EE" w:rsidR="00C1056D" w:rsidRPr="00AF4103" w:rsidRDefault="00C1056D" w:rsidP="00D11A59">
      <w:pPr>
        <w:pStyle w:val="Bullet1"/>
      </w:pPr>
      <w:r w:rsidRPr="00AF4103">
        <w:t xml:space="preserve">Guidelines International Network - </w:t>
      </w:r>
      <w:hyperlink r:id="rId30" w:history="1">
        <w:r w:rsidR="00325CC4" w:rsidRPr="00AF4103">
          <w:rPr>
            <w:rStyle w:val="Hyperlink"/>
            <w:rFonts w:cstheme="minorHAnsi"/>
          </w:rPr>
          <w:t>https://g-i-n.net/international-guidelines-library</w:t>
        </w:r>
      </w:hyperlink>
    </w:p>
    <w:p w14:paraId="62803A1B" w14:textId="3B531B21" w:rsidR="00066EC0" w:rsidRPr="00AF4103" w:rsidRDefault="00C1056D" w:rsidP="00D11A59">
      <w:pPr>
        <w:pStyle w:val="Bullet1"/>
      </w:pPr>
      <w:r w:rsidRPr="00AF4103">
        <w:t>Government departments</w:t>
      </w:r>
      <w:r w:rsidR="00325CC4" w:rsidRPr="00AF4103">
        <w:t xml:space="preserve"> for example:</w:t>
      </w:r>
      <w:r w:rsidR="00066EC0" w:rsidRPr="00066EC0">
        <w:t xml:space="preserve"> </w:t>
      </w:r>
    </w:p>
    <w:p w14:paraId="2266C4C5" w14:textId="0D1F077B" w:rsidR="00066EC0" w:rsidRDefault="002B3779" w:rsidP="003B2A6B">
      <w:pPr>
        <w:pStyle w:val="ListParagraph"/>
        <w:numPr>
          <w:ilvl w:val="0"/>
          <w:numId w:val="12"/>
        </w:numPr>
        <w:spacing w:before="200" w:line="280" w:lineRule="atLeast"/>
        <w:contextualSpacing w:val="0"/>
        <w:rPr>
          <w:rFonts w:asciiTheme="minorHAnsi" w:hAnsiTheme="minorHAnsi" w:cstheme="minorHAnsi"/>
        </w:rPr>
      </w:pPr>
      <w:r>
        <w:rPr>
          <w:rFonts w:asciiTheme="minorHAnsi" w:hAnsiTheme="minorHAnsi" w:cstheme="minorHAnsi"/>
        </w:rPr>
        <w:t xml:space="preserve">Australian Government </w:t>
      </w:r>
      <w:r w:rsidR="00066EC0">
        <w:rPr>
          <w:rFonts w:asciiTheme="minorHAnsi" w:hAnsiTheme="minorHAnsi" w:cstheme="minorHAnsi"/>
        </w:rPr>
        <w:t xml:space="preserve">Department of Health and Aged Care – </w:t>
      </w:r>
      <w:hyperlink r:id="rId31" w:history="1">
        <w:r w:rsidR="00066EC0" w:rsidRPr="00066EC0">
          <w:rPr>
            <w:rStyle w:val="Hyperlink"/>
            <w:rFonts w:asciiTheme="minorHAnsi" w:hAnsiTheme="minorHAnsi" w:cstheme="minorHAnsi"/>
          </w:rPr>
          <w:t>https://www.health.gov.au/</w:t>
        </w:r>
      </w:hyperlink>
    </w:p>
    <w:p w14:paraId="5837AD55" w14:textId="4C707F50" w:rsidR="00C1056D" w:rsidRPr="00AF4103" w:rsidRDefault="00066EC0" w:rsidP="00D11A59">
      <w:pPr>
        <w:pStyle w:val="Bullet1"/>
        <w:rPr>
          <w:rStyle w:val="Hyperlink"/>
          <w:rFonts w:cstheme="minorHAnsi"/>
        </w:rPr>
      </w:pPr>
      <w:r>
        <w:rPr>
          <w:rStyle w:val="Hyperlink"/>
          <w:rFonts w:cstheme="minorHAnsi"/>
          <w:color w:val="000000" w:themeColor="text1"/>
          <w:u w:val="none"/>
        </w:rPr>
        <w:t>Pr</w:t>
      </w:r>
      <w:r w:rsidR="00C778DF" w:rsidRPr="00AF4103">
        <w:rPr>
          <w:rStyle w:val="Hyperlink"/>
          <w:rFonts w:cstheme="minorHAnsi"/>
          <w:color w:val="000000" w:themeColor="text1"/>
          <w:u w:val="none"/>
        </w:rPr>
        <w:t xml:space="preserve">ofessional registration bodies such as the Australian Health Practitioner Regulation Agency (AHPRA) - </w:t>
      </w:r>
      <w:hyperlink r:id="rId32" w:history="1">
        <w:r w:rsidR="00C1056D" w:rsidRPr="00AF4103">
          <w:rPr>
            <w:rStyle w:val="Hyperlink"/>
            <w:rFonts w:cstheme="minorHAnsi"/>
          </w:rPr>
          <w:t>https://www.ahpra.gov.au</w:t>
        </w:r>
      </w:hyperlink>
    </w:p>
    <w:p w14:paraId="6B017602" w14:textId="031BCE80" w:rsidR="00C1056D" w:rsidRPr="00AF4103" w:rsidRDefault="00C1056D" w:rsidP="00D11A59">
      <w:pPr>
        <w:pStyle w:val="Bullet1"/>
        <w:rPr>
          <w:rStyle w:val="Hyperlink"/>
          <w:rFonts w:cstheme="minorHAnsi"/>
        </w:rPr>
      </w:pPr>
      <w:r w:rsidRPr="00AF4103">
        <w:rPr>
          <w:rFonts w:cstheme="minorHAnsi"/>
        </w:rPr>
        <w:t xml:space="preserve">Professional associations such as the </w:t>
      </w:r>
      <w:r w:rsidR="005209DA">
        <w:rPr>
          <w:rFonts w:cstheme="minorHAnsi"/>
        </w:rPr>
        <w:t>Australian Psychological Soci</w:t>
      </w:r>
      <w:r w:rsidR="004A7652">
        <w:rPr>
          <w:rFonts w:cstheme="minorHAnsi"/>
        </w:rPr>
        <w:t xml:space="preserve">ety - </w:t>
      </w:r>
      <w:hyperlink r:id="rId33" w:history="1">
        <w:r w:rsidRPr="00AF4103">
          <w:rPr>
            <w:rStyle w:val="Hyperlink"/>
            <w:rFonts w:cstheme="minorHAnsi"/>
          </w:rPr>
          <w:t>https://psychology.org.au</w:t>
        </w:r>
      </w:hyperlink>
    </w:p>
    <w:p w14:paraId="32192CA7" w14:textId="77777777" w:rsidR="00C1056D" w:rsidRPr="000F282C" w:rsidRDefault="00C1056D" w:rsidP="00D11A59">
      <w:pPr>
        <w:pStyle w:val="Bullet1"/>
        <w:rPr>
          <w:rStyle w:val="Hyperlink"/>
          <w:rFonts w:cstheme="minorHAnsi"/>
        </w:rPr>
      </w:pPr>
      <w:r w:rsidRPr="00AF4103">
        <w:rPr>
          <w:rFonts w:cstheme="minorHAnsi"/>
        </w:rPr>
        <w:t xml:space="preserve">Raising Australian Children </w:t>
      </w:r>
      <w:r w:rsidRPr="000F282C">
        <w:rPr>
          <w:rFonts w:cstheme="minorHAnsi"/>
        </w:rPr>
        <w:t xml:space="preserve">Network – </w:t>
      </w:r>
      <w:hyperlink r:id="rId34" w:history="1">
        <w:r w:rsidRPr="000F282C">
          <w:rPr>
            <w:rStyle w:val="Hyperlink"/>
            <w:rFonts w:cstheme="minorHAnsi"/>
          </w:rPr>
          <w:t>https://raisingchildren.net.au</w:t>
        </w:r>
      </w:hyperlink>
    </w:p>
    <w:p w14:paraId="13116728" w14:textId="3F56106B" w:rsidR="000F282C" w:rsidRDefault="000F282C" w:rsidP="00D11A59">
      <w:pPr>
        <w:pStyle w:val="Bullet1"/>
        <w:rPr>
          <w:rStyle w:val="Hyperlink"/>
          <w:rFonts w:cstheme="minorHAnsi"/>
        </w:rPr>
      </w:pPr>
      <w:r w:rsidRPr="000F282C">
        <w:rPr>
          <w:rFonts w:cstheme="minorHAnsi"/>
        </w:rPr>
        <w:lastRenderedPageBreak/>
        <w:t xml:space="preserve">National Disability Insurance Agency - </w:t>
      </w:r>
      <w:hyperlink r:id="rId35" w:history="1">
        <w:r w:rsidRPr="000F282C">
          <w:rPr>
            <w:rStyle w:val="Hyperlink"/>
            <w:rFonts w:cstheme="minorHAnsi"/>
          </w:rPr>
          <w:t>https://ndis.gov.au/</w:t>
        </w:r>
      </w:hyperlink>
    </w:p>
    <w:p w14:paraId="63C0A8D1" w14:textId="7EF2E8FC" w:rsidR="00B72A20" w:rsidRPr="000F282C" w:rsidRDefault="00B72A20" w:rsidP="00D11A59">
      <w:pPr>
        <w:pStyle w:val="Bullet1"/>
        <w:rPr>
          <w:rFonts w:cstheme="minorHAnsi"/>
          <w:color w:val="943C84"/>
          <w:u w:val="single"/>
        </w:rPr>
      </w:pPr>
      <w:r>
        <w:rPr>
          <w:rFonts w:cstheme="minorHAnsi"/>
        </w:rPr>
        <w:t>National Health and Medical Research Council -</w:t>
      </w:r>
      <w:r>
        <w:rPr>
          <w:rFonts w:cstheme="minorHAnsi"/>
          <w:color w:val="943C84"/>
          <w:u w:val="single"/>
        </w:rPr>
        <w:t xml:space="preserve"> </w:t>
      </w:r>
      <w:hyperlink r:id="rId36" w:history="1">
        <w:r>
          <w:rPr>
            <w:rStyle w:val="Hyperlink"/>
          </w:rPr>
          <w:t>https://www.nhmrc.gov.au/</w:t>
        </w:r>
      </w:hyperlink>
    </w:p>
    <w:p w14:paraId="0AD2DB50" w14:textId="1D34F115" w:rsidR="00C1056D" w:rsidRPr="00AF4103" w:rsidRDefault="00C1056D" w:rsidP="00D11A59">
      <w:pPr>
        <w:pStyle w:val="Bullet1"/>
        <w:rPr>
          <w:rStyle w:val="Hyperlink"/>
          <w:rFonts w:cstheme="minorHAnsi"/>
        </w:rPr>
      </w:pPr>
      <w:r w:rsidRPr="000F282C">
        <w:rPr>
          <w:rFonts w:cstheme="minorHAnsi"/>
        </w:rPr>
        <w:t>NICE Guidance - National Institute for Heath</w:t>
      </w:r>
      <w:r w:rsidRPr="00AF4103">
        <w:rPr>
          <w:rFonts w:cstheme="minorHAnsi"/>
        </w:rPr>
        <w:t xml:space="preserve"> and Care Excellence – </w:t>
      </w:r>
      <w:hyperlink r:id="rId37" w:history="1">
        <w:r w:rsidR="00FA1BF1" w:rsidRPr="0073329B">
          <w:rPr>
            <w:rStyle w:val="Hyperlink"/>
            <w:rFonts w:cstheme="minorHAnsi"/>
          </w:rPr>
          <w:t>https://www.nice.org.uk/</w:t>
        </w:r>
      </w:hyperlink>
    </w:p>
    <w:p w14:paraId="56343AF7" w14:textId="77777777" w:rsidR="00C1056D" w:rsidRPr="00325CC4" w:rsidRDefault="00C1056D" w:rsidP="00D11A59">
      <w:pPr>
        <w:pStyle w:val="Bullet1"/>
        <w:rPr>
          <w:rFonts w:cstheme="minorHAnsi"/>
        </w:rPr>
      </w:pPr>
      <w:r w:rsidRPr="00AF4103">
        <w:rPr>
          <w:rFonts w:cstheme="minorHAnsi"/>
        </w:rPr>
        <w:t>Scottish Intercollegiate Guidelines Network (SIGN) -</w:t>
      </w:r>
      <w:r w:rsidRPr="00325CC4">
        <w:rPr>
          <w:rFonts w:cstheme="minorHAnsi"/>
        </w:rPr>
        <w:t xml:space="preserve"> </w:t>
      </w:r>
      <w:hyperlink r:id="rId38" w:history="1">
        <w:r w:rsidRPr="00325CC4">
          <w:rPr>
            <w:rStyle w:val="Hyperlink"/>
            <w:rFonts w:cstheme="minorHAnsi"/>
          </w:rPr>
          <w:t>https://www.sign.ac.uk/our-guidelines/</w:t>
        </w:r>
      </w:hyperlink>
      <w:r w:rsidRPr="00325CC4">
        <w:rPr>
          <w:rFonts w:cstheme="minorHAnsi"/>
        </w:rPr>
        <w:t xml:space="preserve"> </w:t>
      </w:r>
    </w:p>
    <w:p w14:paraId="2CC70AB2" w14:textId="758440A9" w:rsidR="00C1056D" w:rsidRPr="00325CC4" w:rsidRDefault="00E22BCC" w:rsidP="00D11A59">
      <w:pPr>
        <w:pStyle w:val="Bullet1"/>
        <w:rPr>
          <w:rFonts w:cstheme="minorHAnsi"/>
        </w:rPr>
      </w:pPr>
      <w:r w:rsidRPr="00325CC4">
        <w:rPr>
          <w:rFonts w:cstheme="minorHAnsi"/>
        </w:rPr>
        <w:t>S</w:t>
      </w:r>
      <w:r>
        <w:rPr>
          <w:rFonts w:cstheme="minorHAnsi"/>
        </w:rPr>
        <w:t>ax</w:t>
      </w:r>
      <w:r w:rsidRPr="00325CC4">
        <w:rPr>
          <w:rFonts w:cstheme="minorHAnsi"/>
        </w:rPr>
        <w:t xml:space="preserve"> </w:t>
      </w:r>
      <w:r w:rsidR="00C1056D" w:rsidRPr="00325CC4">
        <w:rPr>
          <w:rFonts w:cstheme="minorHAnsi"/>
        </w:rPr>
        <w:t xml:space="preserve">Institute - </w:t>
      </w:r>
      <w:hyperlink r:id="rId39" w:history="1">
        <w:r w:rsidR="00325CC4" w:rsidRPr="00325CC4">
          <w:rPr>
            <w:rStyle w:val="Hyperlink"/>
            <w:rFonts w:cstheme="minorHAnsi"/>
          </w:rPr>
          <w:t>https://www.saxinstitute.org.au/</w:t>
        </w:r>
      </w:hyperlink>
    </w:p>
    <w:p w14:paraId="03D50E58" w14:textId="18BD610C" w:rsidR="00C1056D" w:rsidRPr="00325CC4" w:rsidRDefault="00C1056D" w:rsidP="00D11A59">
      <w:pPr>
        <w:pStyle w:val="Bullet1"/>
        <w:rPr>
          <w:rStyle w:val="Hyperlink"/>
          <w:rFonts w:cstheme="minorHAnsi"/>
          <w:color w:val="auto"/>
          <w:u w:val="none"/>
        </w:rPr>
      </w:pPr>
      <w:r w:rsidRPr="00325CC4">
        <w:rPr>
          <w:rFonts w:cstheme="minorHAnsi"/>
        </w:rPr>
        <w:t xml:space="preserve">World Health Organisation - </w:t>
      </w:r>
      <w:hyperlink r:id="rId40" w:history="1">
        <w:r w:rsidR="00325CC4" w:rsidRPr="00325CC4">
          <w:rPr>
            <w:rStyle w:val="Hyperlink"/>
            <w:rFonts w:cstheme="minorHAnsi"/>
          </w:rPr>
          <w:t>https://www.who.int/</w:t>
        </w:r>
      </w:hyperlink>
    </w:p>
    <w:p w14:paraId="1F93FD31" w14:textId="77777777" w:rsidR="00C1056D" w:rsidRPr="00690A48" w:rsidRDefault="00C1056D" w:rsidP="00112D44">
      <w:pPr>
        <w:pStyle w:val="Heading1"/>
        <w:spacing w:before="480"/>
        <w:rPr>
          <w:rFonts w:eastAsia="Times New Roman"/>
        </w:rPr>
      </w:pPr>
      <w:bookmarkStart w:id="9" w:name="_Practice_resources"/>
      <w:bookmarkEnd w:id="9"/>
      <w:r w:rsidRPr="00690A48">
        <w:rPr>
          <w:rFonts w:eastAsia="Times New Roman"/>
        </w:rPr>
        <w:t xml:space="preserve">Practice resources </w:t>
      </w:r>
    </w:p>
    <w:p w14:paraId="0B6515A0" w14:textId="5424F6F0" w:rsidR="00C1056D" w:rsidRPr="00DC7F93" w:rsidRDefault="00C1056D" w:rsidP="00DC7F93">
      <w:pPr>
        <w:pStyle w:val="Bullet1"/>
        <w:rPr>
          <w:rStyle w:val="Hyperlink"/>
        </w:rPr>
      </w:pPr>
      <w:r w:rsidRPr="00DC7F93">
        <w:t>The Hexagon Tool</w:t>
      </w:r>
      <w:r w:rsidR="00F31343" w:rsidRPr="00DC7F93">
        <w:t xml:space="preserve"> to assess how a program or practice might fit into an implementing</w:t>
      </w:r>
      <w:r w:rsidR="004A7652" w:rsidRPr="00DC7F93">
        <w:t xml:space="preserve"> provider</w:t>
      </w:r>
      <w:r w:rsidR="00F31343" w:rsidRPr="00DC7F93">
        <w:t>’s existing work and context</w:t>
      </w:r>
      <w:r w:rsidRPr="00DC7F93">
        <w:t xml:space="preserve"> – </w:t>
      </w:r>
      <w:r w:rsidR="00DC7F93">
        <w:fldChar w:fldCharType="begin"/>
      </w:r>
      <w:r w:rsidR="00DC7F93">
        <w:instrText xml:space="preserve"> HYPERLINK "https://nirn.fpg.unc.edu/resources/hexagon-exploration-tool" </w:instrText>
      </w:r>
      <w:r w:rsidR="00DC7F93">
        <w:fldChar w:fldCharType="separate"/>
      </w:r>
      <w:r w:rsidRPr="00DC7F93">
        <w:rPr>
          <w:rStyle w:val="Hyperlink"/>
        </w:rPr>
        <w:t xml:space="preserve">https://nirn.fpg.unc.edu/resources/hexagon-exploration-tool  </w:t>
      </w:r>
    </w:p>
    <w:p w14:paraId="3FFB3FEA" w14:textId="2D3459B3" w:rsidR="00C1056D" w:rsidRPr="00DC7F93" w:rsidRDefault="00DC7F93" w:rsidP="00DC7F93">
      <w:pPr>
        <w:pStyle w:val="Bullet1"/>
        <w:rPr>
          <w:rStyle w:val="Hyperlink"/>
          <w:color w:val="000000" w:themeColor="text1"/>
          <w:u w:val="none"/>
        </w:rPr>
      </w:pPr>
      <w:r>
        <w:fldChar w:fldCharType="end"/>
      </w:r>
      <w:r w:rsidR="00F31343" w:rsidRPr="00DC7F93">
        <w:t xml:space="preserve">Dissemination and Implementation Models Webtool for planning </w:t>
      </w:r>
      <w:r w:rsidR="00772582" w:rsidRPr="00DC7F93">
        <w:t>and implementing an intervention</w:t>
      </w:r>
      <w:r w:rsidR="00066EC0" w:rsidRPr="00DC7F93">
        <w:t xml:space="preserve"> - </w:t>
      </w:r>
      <w:hyperlink r:id="rId41" w:history="1">
        <w:r w:rsidR="00066EC0" w:rsidRPr="00DC7F93">
          <w:rPr>
            <w:rStyle w:val="Hyperlink"/>
          </w:rPr>
          <w:t>https://dissemination-implementation.org/tool/</w:t>
        </w:r>
      </w:hyperlink>
    </w:p>
    <w:p w14:paraId="24CFD4F8" w14:textId="43FBBD1A" w:rsidR="00C1056D" w:rsidRPr="00DC7F93" w:rsidRDefault="00AA262A" w:rsidP="00DC7F93">
      <w:pPr>
        <w:pStyle w:val="Bullet1"/>
      </w:pPr>
      <w:r w:rsidRPr="00DC7F93">
        <w:t xml:space="preserve">NDIS Commission </w:t>
      </w:r>
      <w:r w:rsidR="00983F36" w:rsidRPr="00DC7F93">
        <w:t xml:space="preserve">Practice Reviews -  </w:t>
      </w:r>
      <w:hyperlink r:id="rId42" w:history="1">
        <w:r w:rsidR="00983F36" w:rsidRPr="00DC7F93">
          <w:rPr>
            <w:rStyle w:val="Hyperlink"/>
          </w:rPr>
          <w:t>https://www.ndiscommission.gov.</w:t>
        </w:r>
        <w:r w:rsidR="005209DA" w:rsidRPr="00DC7F93">
          <w:rPr>
            <w:rStyle w:val="Hyperlink"/>
          </w:rPr>
          <w:t>‌</w:t>
        </w:r>
        <w:r w:rsidR="00983F36" w:rsidRPr="00DC7F93">
          <w:rPr>
            <w:rStyle w:val="Hyperlink"/>
          </w:rPr>
          <w:t>au/resources/language-and-formats/easy-read-information</w:t>
        </w:r>
        <w:r w:rsidR="00401462" w:rsidRPr="00DC7F93">
          <w:rPr>
            <w:rStyle w:val="Hyperlink"/>
          </w:rPr>
          <w:t>#paragraph-id-5142</w:t>
        </w:r>
        <w:r w:rsidR="005209DA" w:rsidRPr="00DC7F93">
          <w:rPr>
            <w:rStyle w:val="Hyperlink"/>
          </w:rPr>
          <w:t>‌</w:t>
        </w:r>
      </w:hyperlink>
      <w:r w:rsidR="00DC7F93" w:rsidRPr="00DC7F93">
        <w:t xml:space="preserve"> </w:t>
      </w:r>
    </w:p>
    <w:p w14:paraId="73624A09" w14:textId="2CC7F162" w:rsidR="006E6751" w:rsidRPr="00DC7F93" w:rsidRDefault="006E6751" w:rsidP="00DC7F93">
      <w:pPr>
        <w:pStyle w:val="Bullet1"/>
        <w:rPr>
          <w:rStyle w:val="Hyperlink"/>
          <w:color w:val="000000" w:themeColor="text1"/>
          <w:u w:val="none"/>
        </w:rPr>
      </w:pPr>
      <w:r w:rsidRPr="00DC7F93">
        <w:rPr>
          <w:rStyle w:val="Hyperlink"/>
          <w:color w:val="000000" w:themeColor="text1"/>
          <w:u w:val="none"/>
        </w:rPr>
        <w:t>NDIS Workforce Capability Framework –</w:t>
      </w:r>
      <w:r w:rsidR="00DC7F93">
        <w:rPr>
          <w:rStyle w:val="Hyperlink"/>
          <w:color w:val="000000" w:themeColor="text1"/>
          <w:u w:val="none"/>
        </w:rPr>
        <w:t xml:space="preserve"> </w:t>
      </w:r>
      <w:hyperlink r:id="rId43" w:history="1">
        <w:r w:rsidR="00DC7F93" w:rsidRPr="00DC7F93">
          <w:rPr>
            <w:rStyle w:val="Hyperlink"/>
          </w:rPr>
          <w:t>https://workforcecapability.ndiscommission.gov.au/</w:t>
        </w:r>
      </w:hyperlink>
    </w:p>
    <w:p w14:paraId="51733AE7" w14:textId="30E6CDB2" w:rsidR="00EC53E4" w:rsidRPr="00DC7F93" w:rsidRDefault="00983F36" w:rsidP="00DC7F93">
      <w:pPr>
        <w:pStyle w:val="Bullet1"/>
        <w:rPr>
          <w:rStyle w:val="Hyperlink"/>
          <w:color w:val="000000" w:themeColor="text1"/>
          <w:u w:val="none"/>
        </w:rPr>
      </w:pPr>
      <w:r w:rsidRPr="00DC7F93">
        <w:rPr>
          <w:rStyle w:val="Hyperlink"/>
          <w:color w:val="000000" w:themeColor="text1"/>
          <w:u w:val="none"/>
        </w:rPr>
        <w:t>Implementing Evidence-based Practice</w:t>
      </w:r>
      <w:r w:rsidR="00D0330B" w:rsidRPr="00DC7F93">
        <w:rPr>
          <w:rStyle w:val="Hyperlink"/>
          <w:color w:val="000000" w:themeColor="text1"/>
          <w:u w:val="none"/>
        </w:rPr>
        <w:t xml:space="preserve"> - </w:t>
      </w:r>
      <w:hyperlink r:id="rId44" w:history="1">
        <w:r w:rsidR="00883463" w:rsidRPr="00DC7F93">
          <w:rPr>
            <w:rStyle w:val="Hyperlink"/>
          </w:rPr>
          <w:t>https://workforcecapability.ndiscommission.gov.au</w:t>
        </w:r>
        <w:r w:rsidR="00DC7F93">
          <w:rPr>
            <w:rStyle w:val="Hyperlink"/>
          </w:rPr>
          <w:t>‌</w:t>
        </w:r>
        <w:r w:rsidR="00883463" w:rsidRPr="00DC7F93">
          <w:rPr>
            <w:rStyle w:val="Hyperlink"/>
          </w:rPr>
          <w:t>/tools-and-resources</w:t>
        </w:r>
        <w:r w:rsidR="006E6751" w:rsidRPr="00DC7F93">
          <w:rPr>
            <w:rStyle w:val="Hyperlink"/>
          </w:rPr>
          <w:t xml:space="preserve"> </w:t>
        </w:r>
      </w:hyperlink>
      <w:r w:rsidR="006E6751" w:rsidRPr="00DC7F93">
        <w:rPr>
          <w:rStyle w:val="Hyperlink"/>
          <w:color w:val="000000" w:themeColor="text1"/>
          <w:u w:val="none"/>
        </w:rPr>
        <w:t xml:space="preserve"> </w:t>
      </w:r>
    </w:p>
    <w:p w14:paraId="21A226B1" w14:textId="3DE46652" w:rsidR="008F2A5F" w:rsidRDefault="008F2A5F" w:rsidP="00112D44">
      <w:pPr>
        <w:pStyle w:val="Heading1"/>
        <w:spacing w:before="480"/>
        <w:rPr>
          <w:rFonts w:eastAsia="Times New Roman"/>
        </w:rPr>
      </w:pPr>
      <w:bookmarkStart w:id="10" w:name="_Legislative_linkages"/>
      <w:bookmarkEnd w:id="10"/>
      <w:r w:rsidRPr="00690A48">
        <w:rPr>
          <w:rFonts w:eastAsia="Times New Roman"/>
        </w:rPr>
        <w:t>Legislative linkages</w:t>
      </w:r>
    </w:p>
    <w:p w14:paraId="783FC37A" w14:textId="49980580" w:rsidR="000F282C" w:rsidRDefault="000F282C" w:rsidP="000F282C">
      <w:pPr>
        <w:rPr>
          <w:rFonts w:cstheme="minorHAnsi"/>
        </w:rPr>
      </w:pPr>
      <w:r>
        <w:rPr>
          <w:rFonts w:cstheme="minorHAnsi"/>
        </w:rPr>
        <w:t xml:space="preserve">The </w:t>
      </w:r>
      <w:r w:rsidR="003F737C">
        <w:rPr>
          <w:rFonts w:cstheme="minorHAnsi"/>
        </w:rPr>
        <w:t>Guide</w:t>
      </w:r>
      <w:r>
        <w:rPr>
          <w:rFonts w:cstheme="minorHAnsi"/>
        </w:rPr>
        <w:t xml:space="preserve"> recognises that adopting evidence-informed practice places both registered and unregistered providers in a better position to demonstrate compliance with their obligations under the NDIS legislation. </w:t>
      </w:r>
    </w:p>
    <w:p w14:paraId="64B31CD4" w14:textId="77777777" w:rsidR="008F2A5F" w:rsidRPr="00690A48" w:rsidRDefault="008F2A5F" w:rsidP="00D80474">
      <w:pPr>
        <w:pStyle w:val="Heading2"/>
        <w:rPr>
          <w:rFonts w:eastAsia="Times New Roman"/>
          <w:sz w:val="26"/>
          <w:szCs w:val="24"/>
        </w:rPr>
      </w:pPr>
      <w:r w:rsidRPr="00690A48">
        <w:t xml:space="preserve">NDIS Act </w:t>
      </w:r>
    </w:p>
    <w:p w14:paraId="4665EAA0" w14:textId="0D1D8DCE" w:rsidR="008F2A5F" w:rsidRPr="00690A48" w:rsidRDefault="008F2A5F" w:rsidP="0092559D">
      <w:pPr>
        <w:pStyle w:val="paragraph"/>
        <w:spacing w:before="120" w:beforeAutospacing="0" w:after="120" w:afterAutospacing="0" w:line="280" w:lineRule="atLeast"/>
        <w:textAlignment w:val="baseline"/>
        <w:rPr>
          <w:rStyle w:val="normaltextrun"/>
          <w:rFonts w:asciiTheme="minorHAnsi" w:eastAsiaTheme="majorEastAsia" w:hAnsiTheme="minorHAnsi" w:cstheme="minorHAnsi"/>
          <w:sz w:val="22"/>
          <w:szCs w:val="22"/>
        </w:rPr>
      </w:pPr>
      <w:r w:rsidRPr="00690A48">
        <w:rPr>
          <w:rStyle w:val="normaltextrun"/>
          <w:rFonts w:asciiTheme="minorHAnsi" w:eastAsiaTheme="majorEastAsia" w:hAnsiTheme="minorHAnsi" w:cstheme="minorHAnsi"/>
          <w:sz w:val="22"/>
          <w:szCs w:val="22"/>
        </w:rPr>
        <w:t xml:space="preserve">This </w:t>
      </w:r>
      <w:r w:rsidR="003F737C">
        <w:rPr>
          <w:rStyle w:val="normaltextrun"/>
          <w:rFonts w:asciiTheme="minorHAnsi" w:eastAsiaTheme="majorEastAsia" w:hAnsiTheme="minorHAnsi" w:cstheme="minorHAnsi"/>
          <w:sz w:val="22"/>
          <w:szCs w:val="22"/>
        </w:rPr>
        <w:t>Guide</w:t>
      </w:r>
      <w:r w:rsidR="00BC1FA6">
        <w:rPr>
          <w:rStyle w:val="normaltextrun"/>
          <w:rFonts w:asciiTheme="minorHAnsi" w:eastAsiaTheme="majorEastAsia" w:hAnsiTheme="minorHAnsi" w:cstheme="minorHAnsi"/>
          <w:sz w:val="22"/>
          <w:szCs w:val="22"/>
        </w:rPr>
        <w:t xml:space="preserve"> aligns with</w:t>
      </w:r>
      <w:r w:rsidR="00BC1FA6" w:rsidRPr="00690A48">
        <w:rPr>
          <w:rStyle w:val="normaltextrun"/>
          <w:rFonts w:asciiTheme="minorHAnsi" w:eastAsiaTheme="majorEastAsia" w:hAnsiTheme="minorHAnsi" w:cstheme="minorHAnsi"/>
          <w:sz w:val="22"/>
          <w:szCs w:val="22"/>
        </w:rPr>
        <w:t xml:space="preserve"> the </w:t>
      </w:r>
      <w:hyperlink r:id="rId45" w:history="1">
        <w:r w:rsidR="00BC1FA6" w:rsidRPr="00690A48">
          <w:rPr>
            <w:rStyle w:val="Hyperlink"/>
            <w:rFonts w:asciiTheme="minorHAnsi" w:eastAsiaTheme="majorEastAsia" w:hAnsiTheme="minorHAnsi" w:cstheme="minorHAnsi"/>
            <w:i/>
            <w:sz w:val="22"/>
            <w:szCs w:val="22"/>
          </w:rPr>
          <w:t>NDIS Act 2013</w:t>
        </w:r>
      </w:hyperlink>
      <w:r w:rsidR="00BC1FA6">
        <w:rPr>
          <w:rStyle w:val="normaltextrun"/>
          <w:rFonts w:asciiTheme="minorHAnsi" w:eastAsiaTheme="majorEastAsia" w:hAnsiTheme="minorHAnsi" w:cstheme="minorHAnsi"/>
          <w:sz w:val="22"/>
          <w:szCs w:val="22"/>
        </w:rPr>
        <w:t>, including guiding principle of</w:t>
      </w:r>
      <w:r w:rsidRPr="00690A48">
        <w:rPr>
          <w:rStyle w:val="normaltextrun"/>
          <w:rFonts w:asciiTheme="minorHAnsi" w:eastAsiaTheme="majorEastAsia" w:hAnsiTheme="minorHAnsi" w:cstheme="minorHAnsi"/>
          <w:sz w:val="22"/>
          <w:szCs w:val="22"/>
        </w:rPr>
        <w:t xml:space="preserve"> section 4(15) which states:</w:t>
      </w:r>
    </w:p>
    <w:p w14:paraId="4EE6CE65" w14:textId="77777777" w:rsidR="008F2A5F" w:rsidRPr="00690A48" w:rsidRDefault="008F2A5F" w:rsidP="00DC7F93">
      <w:pPr>
        <w:ind w:left="283"/>
        <w:rPr>
          <w:rStyle w:val="normaltextrun"/>
          <w:rFonts w:eastAsiaTheme="majorEastAsia" w:cstheme="minorHAnsi"/>
          <w:szCs w:val="22"/>
        </w:rPr>
      </w:pPr>
      <w:r w:rsidRPr="00690A48">
        <w:rPr>
          <w:rStyle w:val="normaltextrun"/>
          <w:rFonts w:eastAsiaTheme="majorEastAsia" w:cstheme="minorHAnsi"/>
          <w:szCs w:val="22"/>
        </w:rPr>
        <w:t>“</w:t>
      </w:r>
      <w:r w:rsidRPr="00690A48">
        <w:rPr>
          <w:shd w:val="clear" w:color="auto" w:fill="FFFFFF"/>
        </w:rPr>
        <w:t xml:space="preserve">In exercising their right to choice and control, people with disability require access to a diverse and sustainable market for disability supports in which innovation, quality, continuous improvement, </w:t>
      </w:r>
      <w:r w:rsidRPr="00BC1FA6">
        <w:rPr>
          <w:b/>
          <w:shd w:val="clear" w:color="auto" w:fill="FFFFFF"/>
        </w:rPr>
        <w:t>contemporary best practice</w:t>
      </w:r>
      <w:r w:rsidRPr="00690A48">
        <w:rPr>
          <w:shd w:val="clear" w:color="auto" w:fill="FFFFFF"/>
        </w:rPr>
        <w:t xml:space="preserve"> and effectiveness in the provision of those supports is promoted.”</w:t>
      </w:r>
      <w:r w:rsidRPr="00690A48">
        <w:rPr>
          <w:rStyle w:val="normaltextrun"/>
          <w:rFonts w:eastAsiaTheme="majorEastAsia" w:cstheme="minorHAnsi"/>
          <w:szCs w:val="22"/>
        </w:rPr>
        <w:t xml:space="preserve"> </w:t>
      </w:r>
    </w:p>
    <w:p w14:paraId="65B2DDB2" w14:textId="77777777" w:rsidR="00DC7F93" w:rsidRDefault="00DC7F93">
      <w:pPr>
        <w:suppressAutoHyphens w:val="0"/>
        <w:spacing w:before="120" w:after="120" w:line="240" w:lineRule="auto"/>
        <w:rPr>
          <w:rFonts w:eastAsia="Times New Roman" w:cstheme="minorHAnsi"/>
          <w:color w:val="auto"/>
          <w:szCs w:val="22"/>
          <w:lang w:eastAsia="en-AU"/>
        </w:rPr>
      </w:pPr>
      <w:r>
        <w:rPr>
          <w:rFonts w:cstheme="minorHAnsi"/>
          <w:szCs w:val="22"/>
        </w:rPr>
        <w:br w:type="page"/>
      </w:r>
    </w:p>
    <w:p w14:paraId="0788E378" w14:textId="4AEF9EFB" w:rsidR="008F2A5F" w:rsidRPr="00690A48" w:rsidRDefault="008F2A5F" w:rsidP="0092559D">
      <w:pPr>
        <w:pStyle w:val="paragraph"/>
        <w:spacing w:before="200" w:beforeAutospacing="0" w:after="120" w:afterAutospacing="0" w:line="280" w:lineRule="atLeast"/>
        <w:textAlignment w:val="baseline"/>
        <w:rPr>
          <w:rStyle w:val="normaltextrun"/>
          <w:rFonts w:asciiTheme="minorHAnsi" w:eastAsiaTheme="majorEastAsia" w:hAnsiTheme="minorHAnsi" w:cstheme="minorHAnsi"/>
          <w:sz w:val="22"/>
          <w:szCs w:val="22"/>
        </w:rPr>
      </w:pPr>
      <w:r w:rsidRPr="00690A48">
        <w:rPr>
          <w:rFonts w:asciiTheme="minorHAnsi" w:hAnsiTheme="minorHAnsi" w:cstheme="minorHAnsi"/>
          <w:sz w:val="22"/>
          <w:szCs w:val="22"/>
        </w:rPr>
        <w:lastRenderedPageBreak/>
        <w:t xml:space="preserve">It </w:t>
      </w:r>
      <w:r w:rsidRPr="00690A48">
        <w:rPr>
          <w:rStyle w:val="normaltextrun"/>
          <w:rFonts w:asciiTheme="minorHAnsi" w:eastAsiaTheme="majorEastAsia" w:hAnsiTheme="minorHAnsi" w:cstheme="minorHAnsi"/>
          <w:sz w:val="22"/>
          <w:szCs w:val="22"/>
        </w:rPr>
        <w:t>is in furtherance of the Commissioner’s functions</w:t>
      </w:r>
      <w:r w:rsidR="00BC1FA6">
        <w:rPr>
          <w:rStyle w:val="normaltextrun"/>
          <w:rFonts w:asciiTheme="minorHAnsi" w:eastAsiaTheme="majorEastAsia" w:hAnsiTheme="minorHAnsi" w:cstheme="minorHAnsi"/>
          <w:sz w:val="22"/>
          <w:szCs w:val="22"/>
        </w:rPr>
        <w:t>,</w:t>
      </w:r>
      <w:r w:rsidRPr="00690A48">
        <w:rPr>
          <w:rStyle w:val="normaltextrun"/>
          <w:rFonts w:asciiTheme="minorHAnsi" w:eastAsiaTheme="majorEastAsia" w:hAnsiTheme="minorHAnsi" w:cstheme="minorHAnsi"/>
          <w:sz w:val="22"/>
          <w:szCs w:val="22"/>
        </w:rPr>
        <w:t xml:space="preserve"> in</w:t>
      </w:r>
      <w:r w:rsidR="00BC1FA6">
        <w:rPr>
          <w:rStyle w:val="normaltextrun"/>
          <w:rFonts w:asciiTheme="minorHAnsi" w:eastAsiaTheme="majorEastAsia" w:hAnsiTheme="minorHAnsi" w:cstheme="minorHAnsi"/>
          <w:sz w:val="22"/>
          <w:szCs w:val="22"/>
        </w:rPr>
        <w:t>cluding</w:t>
      </w:r>
      <w:r w:rsidRPr="00690A48">
        <w:rPr>
          <w:rStyle w:val="normaltextrun"/>
          <w:rFonts w:asciiTheme="minorHAnsi" w:eastAsiaTheme="majorEastAsia" w:hAnsiTheme="minorHAnsi" w:cstheme="minorHAnsi"/>
          <w:sz w:val="22"/>
          <w:szCs w:val="22"/>
        </w:rPr>
        <w:t xml:space="preserve"> section</w:t>
      </w:r>
      <w:r>
        <w:rPr>
          <w:rStyle w:val="normaltextrun"/>
          <w:rFonts w:asciiTheme="minorHAnsi" w:eastAsiaTheme="majorEastAsia" w:hAnsiTheme="minorHAnsi" w:cstheme="minorHAnsi"/>
          <w:sz w:val="22"/>
          <w:szCs w:val="22"/>
        </w:rPr>
        <w:t>s</w:t>
      </w:r>
      <w:r w:rsidRPr="00690A48">
        <w:rPr>
          <w:rStyle w:val="normaltextrun"/>
          <w:rFonts w:asciiTheme="minorHAnsi" w:eastAsiaTheme="majorEastAsia" w:hAnsiTheme="minorHAnsi" w:cstheme="minorHAnsi"/>
          <w:sz w:val="22"/>
          <w:szCs w:val="22"/>
        </w:rPr>
        <w:t xml:space="preserve"> 181E(e) and 181H(b):</w:t>
      </w:r>
    </w:p>
    <w:p w14:paraId="298B1FDA" w14:textId="77777777" w:rsidR="008F2A5F" w:rsidRPr="00690A48" w:rsidRDefault="008F2A5F" w:rsidP="00DC7F93">
      <w:pPr>
        <w:ind w:left="283"/>
        <w:rPr>
          <w:rStyle w:val="normaltextrun"/>
          <w:rFonts w:eastAsiaTheme="majorEastAsia" w:cstheme="minorHAnsi"/>
          <w:szCs w:val="22"/>
        </w:rPr>
      </w:pPr>
      <w:r w:rsidRPr="00690A48">
        <w:rPr>
          <w:rStyle w:val="normaltextrun"/>
          <w:rFonts w:eastAsiaTheme="majorEastAsia" w:cstheme="minorHAnsi"/>
          <w:szCs w:val="22"/>
        </w:rPr>
        <w:t>181E(e) “to promote continuous improvement amongst NDIS providers and the delivery of progressively higher standards of supports and services to people with disability”</w:t>
      </w:r>
    </w:p>
    <w:p w14:paraId="5951BCF2" w14:textId="77777777" w:rsidR="008F2A5F" w:rsidRPr="00690A48" w:rsidRDefault="008F2A5F" w:rsidP="00DC7F93">
      <w:pPr>
        <w:ind w:left="283"/>
        <w:rPr>
          <w:rStyle w:val="normaltextrun"/>
          <w:rFonts w:eastAsiaTheme="majorEastAsia" w:cstheme="minorHAnsi"/>
          <w:szCs w:val="22"/>
        </w:rPr>
      </w:pPr>
      <w:r w:rsidRPr="00690A48">
        <w:rPr>
          <w:rStyle w:val="normaltextrun"/>
          <w:rFonts w:eastAsiaTheme="majorEastAsia" w:cstheme="minorHAnsi"/>
          <w:szCs w:val="22"/>
        </w:rPr>
        <w:t>181H(b) “developing policy and guidance materials in relation to behaviour supports and the reduction and elimination of the use of restrictive practices by NDIS providers”</w:t>
      </w:r>
    </w:p>
    <w:p w14:paraId="2FCA6615" w14:textId="4321BF82" w:rsidR="008F2A5F" w:rsidRPr="00690A48" w:rsidRDefault="008F2A5F" w:rsidP="00D11A59">
      <w:pPr>
        <w:pStyle w:val="Bullet1"/>
        <w:numPr>
          <w:ilvl w:val="0"/>
          <w:numId w:val="0"/>
        </w:numPr>
        <w:spacing w:before="240"/>
        <w:ind w:left="284" w:hanging="284"/>
        <w:rPr>
          <w:rStyle w:val="normaltextrun"/>
          <w:rFonts w:eastAsiaTheme="majorEastAsia" w:cstheme="minorHAnsi"/>
          <w:szCs w:val="22"/>
        </w:rPr>
      </w:pPr>
      <w:r w:rsidRPr="00690A48">
        <w:rPr>
          <w:rStyle w:val="normaltextrun"/>
          <w:rFonts w:eastAsiaTheme="majorEastAsia" w:cstheme="minorHAnsi"/>
          <w:szCs w:val="22"/>
        </w:rPr>
        <w:t>Finally this</w:t>
      </w:r>
      <w:r w:rsidR="004A7652">
        <w:rPr>
          <w:rStyle w:val="normaltextrun"/>
          <w:rFonts w:eastAsiaTheme="majorEastAsia" w:cstheme="minorHAnsi"/>
          <w:szCs w:val="22"/>
        </w:rPr>
        <w:t xml:space="preserve"> </w:t>
      </w:r>
      <w:r w:rsidR="003F737C">
        <w:rPr>
          <w:rStyle w:val="normaltextrun"/>
          <w:rFonts w:eastAsiaTheme="majorEastAsia" w:cstheme="minorHAnsi"/>
          <w:szCs w:val="22"/>
        </w:rPr>
        <w:t>Guide</w:t>
      </w:r>
      <w:r w:rsidRPr="00690A48">
        <w:rPr>
          <w:rStyle w:val="normaltextrun"/>
          <w:rFonts w:eastAsiaTheme="majorEastAsia" w:cstheme="minorHAnsi"/>
          <w:szCs w:val="22"/>
        </w:rPr>
        <w:t xml:space="preserve"> relates to section</w:t>
      </w:r>
      <w:r>
        <w:rPr>
          <w:rStyle w:val="normaltextrun"/>
          <w:rFonts w:eastAsiaTheme="majorEastAsia" w:cstheme="minorHAnsi"/>
          <w:szCs w:val="22"/>
        </w:rPr>
        <w:t>s</w:t>
      </w:r>
      <w:r w:rsidRPr="00690A48">
        <w:rPr>
          <w:rStyle w:val="normaltextrun"/>
          <w:rFonts w:eastAsiaTheme="majorEastAsia" w:cstheme="minorHAnsi"/>
          <w:szCs w:val="22"/>
        </w:rPr>
        <w:t xml:space="preserve"> 73J and 73V of the NDIS Act:</w:t>
      </w:r>
    </w:p>
    <w:p w14:paraId="02BB0920" w14:textId="77777777" w:rsidR="008F2A5F" w:rsidRPr="00690A48" w:rsidRDefault="008F2A5F" w:rsidP="00DC7F93">
      <w:pPr>
        <w:ind w:left="283"/>
        <w:rPr>
          <w:rStyle w:val="normaltextrun"/>
          <w:rFonts w:eastAsiaTheme="majorEastAsia" w:cstheme="minorHAnsi"/>
          <w:szCs w:val="22"/>
        </w:rPr>
      </w:pPr>
      <w:r w:rsidRPr="00690A48">
        <w:rPr>
          <w:rStyle w:val="normaltextrun"/>
          <w:rFonts w:eastAsiaTheme="majorEastAsia" w:cstheme="minorHAnsi"/>
          <w:szCs w:val="22"/>
        </w:rPr>
        <w:t>73J “registered providers must comply with the conditions of registration”</w:t>
      </w:r>
    </w:p>
    <w:p w14:paraId="5C59CDC4" w14:textId="77777777" w:rsidR="008F2A5F" w:rsidRPr="00690A48" w:rsidRDefault="008F2A5F" w:rsidP="00DC7F93">
      <w:pPr>
        <w:ind w:left="283"/>
      </w:pPr>
      <w:r w:rsidRPr="00690A48">
        <w:rPr>
          <w:rStyle w:val="normaltextrun"/>
          <w:rFonts w:eastAsiaTheme="majorEastAsia" w:cstheme="minorHAnsi"/>
          <w:szCs w:val="22"/>
        </w:rPr>
        <w:t>73V “</w:t>
      </w:r>
      <w:r w:rsidRPr="00690A48">
        <w:rPr>
          <w:bCs/>
          <w:color w:val="000000"/>
        </w:rPr>
        <w:t>NDIS Code of Conduct”, which applies to both registered and unregistered providers.</w:t>
      </w:r>
    </w:p>
    <w:p w14:paraId="7C37BA6F" w14:textId="39A6F4FA" w:rsidR="008F2A5F" w:rsidRPr="00690A48" w:rsidRDefault="008F2A5F" w:rsidP="00AA6E0E">
      <w:pPr>
        <w:pStyle w:val="Heading2"/>
        <w:spacing w:before="480"/>
      </w:pPr>
      <w:r w:rsidRPr="00690A48">
        <w:t>NDIS Code of Conduct</w:t>
      </w:r>
      <w:r w:rsidRPr="00690A48">
        <w:tab/>
      </w:r>
    </w:p>
    <w:p w14:paraId="00F82A31" w14:textId="4FC9059A" w:rsidR="008F2A5F" w:rsidRPr="00690A48" w:rsidRDefault="008F2A5F" w:rsidP="000F282C">
      <w:pPr>
        <w:rPr>
          <w:rFonts w:cstheme="minorHAnsi"/>
        </w:rPr>
      </w:pPr>
      <w:r w:rsidRPr="00690A48">
        <w:rPr>
          <w:rFonts w:cstheme="minorHAnsi"/>
        </w:rPr>
        <w:t>T</w:t>
      </w:r>
      <w:r w:rsidR="00BC1FA6">
        <w:rPr>
          <w:rFonts w:cstheme="minorHAnsi"/>
        </w:rPr>
        <w:t xml:space="preserve">his </w:t>
      </w:r>
      <w:r w:rsidR="003F737C">
        <w:rPr>
          <w:rFonts w:cstheme="minorHAnsi"/>
        </w:rPr>
        <w:t>Guide</w:t>
      </w:r>
      <w:r w:rsidR="003977AE">
        <w:rPr>
          <w:rFonts w:cstheme="minorHAnsi"/>
        </w:rPr>
        <w:t xml:space="preserve"> </w:t>
      </w:r>
      <w:r w:rsidR="00BC1FA6">
        <w:rPr>
          <w:rFonts w:cstheme="minorHAnsi"/>
        </w:rPr>
        <w:t xml:space="preserve">supports </w:t>
      </w:r>
      <w:r w:rsidR="000B06E5">
        <w:rPr>
          <w:rFonts w:cstheme="minorHAnsi"/>
        </w:rPr>
        <w:t xml:space="preserve">provider and workers to demonstrate compliance with </w:t>
      </w:r>
      <w:r w:rsidRPr="00690A48">
        <w:rPr>
          <w:rFonts w:cstheme="minorHAnsi"/>
        </w:rPr>
        <w:t xml:space="preserve">the </w:t>
      </w:r>
      <w:hyperlink r:id="rId46" w:history="1">
        <w:r w:rsidRPr="00690A48">
          <w:rPr>
            <w:rStyle w:val="Hyperlink"/>
            <w:rFonts w:cstheme="minorHAnsi"/>
            <w:i/>
          </w:rPr>
          <w:t>NDIS (Code of Conduct) Rules 2018</w:t>
        </w:r>
      </w:hyperlink>
      <w:r w:rsidRPr="00690A48">
        <w:rPr>
          <w:rFonts w:cstheme="minorHAnsi"/>
        </w:rPr>
        <w:t xml:space="preserve">, which </w:t>
      </w:r>
      <w:r w:rsidR="00BC1FA6">
        <w:rPr>
          <w:rFonts w:cstheme="minorHAnsi"/>
        </w:rPr>
        <w:t>includes</w:t>
      </w:r>
      <w:r w:rsidRPr="00690A48">
        <w:rPr>
          <w:rFonts w:cstheme="minorHAnsi"/>
        </w:rPr>
        <w:t xml:space="preserve">: </w:t>
      </w:r>
    </w:p>
    <w:p w14:paraId="4B7742A3" w14:textId="77777777" w:rsidR="008F2A5F" w:rsidRDefault="008F2A5F" w:rsidP="00DC7F93">
      <w:pPr>
        <w:ind w:left="283"/>
      </w:pPr>
      <w:r w:rsidRPr="00690A48">
        <w:t xml:space="preserve">“In providing supports or services to people with disability, a Code-covered person must: </w:t>
      </w:r>
    </w:p>
    <w:p w14:paraId="394440D5" w14:textId="5CBA05DF" w:rsidR="008F2A5F" w:rsidRPr="00690A48" w:rsidRDefault="00DC7F93" w:rsidP="00DC7F93">
      <w:pPr>
        <w:ind w:left="283"/>
      </w:pPr>
      <w:r>
        <w:t xml:space="preserve">(a) </w:t>
      </w:r>
      <w:r w:rsidR="008F2A5F" w:rsidRPr="00161BB2">
        <w:t>act with respect for individual rights to freedom of expression, self-determination and decision-making in accordance with applicable laws and conventions; and</w:t>
      </w:r>
    </w:p>
    <w:p w14:paraId="0A77F39D" w14:textId="73449BA0" w:rsidR="008F2A5F" w:rsidRDefault="00DC7F93" w:rsidP="00DC7F93">
      <w:pPr>
        <w:ind w:left="283"/>
      </w:pPr>
      <w:r>
        <w:t xml:space="preserve">(c) </w:t>
      </w:r>
      <w:r w:rsidR="008F2A5F" w:rsidRPr="00690A48">
        <w:t>provide supports and services in a safe and competent manner, with care and skill</w:t>
      </w:r>
    </w:p>
    <w:p w14:paraId="36C98568" w14:textId="369E2E9C" w:rsidR="008F2A5F" w:rsidRPr="00161BB2" w:rsidRDefault="00DC7F93" w:rsidP="00DC7F93">
      <w:pPr>
        <w:ind w:left="283"/>
      </w:pPr>
      <w:r>
        <w:t xml:space="preserve">(f) </w:t>
      </w:r>
      <w:r w:rsidR="008F2A5F" w:rsidRPr="00161BB2">
        <w:t>act with integrity, honesty and transparency; and</w:t>
      </w:r>
    </w:p>
    <w:p w14:paraId="6C0FC989" w14:textId="17656A20" w:rsidR="008F2A5F" w:rsidRPr="00A271A3" w:rsidRDefault="00DC7F93" w:rsidP="00DC7F93">
      <w:pPr>
        <w:ind w:left="283"/>
      </w:pPr>
      <w:r>
        <w:t xml:space="preserve">(g) </w:t>
      </w:r>
      <w:r w:rsidR="008F2A5F" w:rsidRPr="00690A48">
        <w:t>take all reasonable steps to prevent and respond to all forms of violence against, and exploitation, neglect and abuse of people with disability”</w:t>
      </w:r>
    </w:p>
    <w:p w14:paraId="34B3760B" w14:textId="77777777" w:rsidR="008F2A5F" w:rsidRPr="00690A48" w:rsidRDefault="008F2A5F" w:rsidP="00AA6E0E">
      <w:pPr>
        <w:pStyle w:val="Heading2"/>
        <w:spacing w:before="480"/>
      </w:pPr>
      <w:r w:rsidRPr="00690A48">
        <w:t>Rules and Guidelines for Registered NDIS Providers</w:t>
      </w:r>
    </w:p>
    <w:p w14:paraId="63C465C7" w14:textId="14174044" w:rsidR="008F2A5F" w:rsidRDefault="008F2A5F" w:rsidP="0092559D">
      <w:pPr>
        <w:spacing w:after="120"/>
        <w:rPr>
          <w:rFonts w:cstheme="minorHAnsi"/>
        </w:rPr>
      </w:pPr>
      <w:r w:rsidRPr="00690A48">
        <w:rPr>
          <w:rFonts w:cstheme="minorHAnsi"/>
        </w:rPr>
        <w:t xml:space="preserve">This </w:t>
      </w:r>
      <w:r w:rsidR="003F737C">
        <w:rPr>
          <w:rFonts w:cstheme="minorHAnsi"/>
        </w:rPr>
        <w:t>Guide</w:t>
      </w:r>
      <w:r w:rsidR="003977AE">
        <w:rPr>
          <w:rFonts w:cstheme="minorHAnsi"/>
        </w:rPr>
        <w:t xml:space="preserve"> </w:t>
      </w:r>
      <w:r w:rsidR="00C06887">
        <w:rPr>
          <w:rFonts w:cstheme="minorHAnsi"/>
        </w:rPr>
        <w:t>r</w:t>
      </w:r>
      <w:r w:rsidRPr="00690A48">
        <w:rPr>
          <w:rFonts w:cstheme="minorHAnsi"/>
        </w:rPr>
        <w:t xml:space="preserve">elates to the conditions of registration </w:t>
      </w:r>
      <w:r>
        <w:rPr>
          <w:rFonts w:cstheme="minorHAnsi"/>
        </w:rPr>
        <w:t xml:space="preserve">placed </w:t>
      </w:r>
      <w:r w:rsidRPr="00690A48">
        <w:rPr>
          <w:rFonts w:cstheme="minorHAnsi"/>
        </w:rPr>
        <w:t>on registered NDIS providers as outlined in the:</w:t>
      </w:r>
    </w:p>
    <w:p w14:paraId="3FBEFC0E" w14:textId="77777777" w:rsidR="00AA6E0E" w:rsidRDefault="003C7930" w:rsidP="00AA6E0E">
      <w:pPr>
        <w:pStyle w:val="Bullet1"/>
        <w:rPr>
          <w:rStyle w:val="Hyperlink"/>
          <w:color w:val="000000" w:themeColor="text1"/>
          <w:u w:val="none"/>
        </w:rPr>
      </w:pPr>
      <w:hyperlink r:id="rId47" w:history="1">
        <w:r w:rsidR="008F2A5F" w:rsidRPr="00AA6E0E">
          <w:rPr>
            <w:rStyle w:val="Hyperlink"/>
            <w:rFonts w:cstheme="minorHAnsi"/>
            <w:i/>
          </w:rPr>
          <w:t>NDIS (Provider Registration and Practice Standards) Rules 2018</w:t>
        </w:r>
      </w:hyperlink>
    </w:p>
    <w:p w14:paraId="1F161035" w14:textId="57645934" w:rsidR="008F2A5F" w:rsidRPr="00AA6E0E" w:rsidRDefault="003C7930" w:rsidP="00AA6E0E">
      <w:pPr>
        <w:pStyle w:val="Bullet1"/>
      </w:pPr>
      <w:hyperlink r:id="rId48" w:history="1">
        <w:r w:rsidR="008F2A5F" w:rsidRPr="00AA6E0E">
          <w:rPr>
            <w:rStyle w:val="Hyperlink"/>
            <w:rFonts w:cstheme="minorHAnsi"/>
            <w:i/>
          </w:rPr>
          <w:t>NDIS (Restrictive Practices and Behaviour Support) Rules 2018</w:t>
        </w:r>
        <w:r w:rsidR="008F2A5F" w:rsidRPr="00AA6E0E">
          <w:rPr>
            <w:rStyle w:val="Hyperlink"/>
            <w:rFonts w:cstheme="minorHAnsi"/>
            <w:i/>
            <w:color w:val="000000" w:themeColor="text1"/>
          </w:rPr>
          <w:t xml:space="preserve">  </w:t>
        </w:r>
      </w:hyperlink>
    </w:p>
    <w:p w14:paraId="44A33979" w14:textId="0861CE86" w:rsidR="00022808" w:rsidRDefault="00022808" w:rsidP="00D11A59">
      <w:pPr>
        <w:spacing w:before="240" w:after="120"/>
      </w:pPr>
      <w:r>
        <w:t xml:space="preserve">The </w:t>
      </w:r>
      <w:r w:rsidR="003F737C">
        <w:t>Guide</w:t>
      </w:r>
      <w:r>
        <w:t xml:space="preserve"> also relates to the quality indicators:</w:t>
      </w:r>
    </w:p>
    <w:p w14:paraId="0499A0C7" w14:textId="795AA4BB" w:rsidR="00022808" w:rsidRPr="00AA6E0E" w:rsidRDefault="003C7930" w:rsidP="00AA6E0E">
      <w:pPr>
        <w:pStyle w:val="Bullet1"/>
      </w:pPr>
      <w:hyperlink r:id="rId49" w:history="1">
        <w:r w:rsidR="00022808" w:rsidRPr="00AA6E0E">
          <w:rPr>
            <w:rStyle w:val="Hyperlink"/>
            <w:rFonts w:cstheme="minorHAnsi"/>
            <w:bCs/>
            <w:i/>
            <w:shd w:val="clear" w:color="auto" w:fill="FFFFFF"/>
          </w:rPr>
          <w:t>NDIS (Quality Indicators for NDIS Practice Standards) Guidelines 2018 </w:t>
        </w:r>
      </w:hyperlink>
    </w:p>
    <w:p w14:paraId="29A91076" w14:textId="77777777" w:rsidR="00D11A59" w:rsidRDefault="00D11A59" w:rsidP="003316E7">
      <w:r>
        <w:br w:type="page"/>
      </w:r>
    </w:p>
    <w:p w14:paraId="2C9E4CF4" w14:textId="45C7A0E7" w:rsidR="009C4968" w:rsidRDefault="009C4968" w:rsidP="003316E7">
      <w:pPr>
        <w:pStyle w:val="Heading1"/>
      </w:pPr>
      <w:bookmarkStart w:id="11" w:name="_Ref138997299"/>
      <w:r>
        <w:lastRenderedPageBreak/>
        <w:t>Appendix</w:t>
      </w:r>
      <w:r w:rsidR="003316E7">
        <w:t xml:space="preserve"> </w:t>
      </w:r>
    </w:p>
    <w:p w14:paraId="10146CF7" w14:textId="3EE46CB4" w:rsidR="003316E7" w:rsidRDefault="003316E7" w:rsidP="009C4968">
      <w:r>
        <w:t>Extended descriptions for figures</w:t>
      </w:r>
      <w:r w:rsidR="00427CD3">
        <w:t xml:space="preserve"> 1 and 2</w:t>
      </w:r>
      <w:bookmarkEnd w:id="11"/>
    </w:p>
    <w:p w14:paraId="67840146" w14:textId="77777777" w:rsidR="003316E7" w:rsidRPr="009C4968" w:rsidRDefault="003316E7" w:rsidP="009C4968">
      <w:pPr>
        <w:pStyle w:val="Heading2"/>
      </w:pPr>
      <w:bookmarkStart w:id="12" w:name="_Figure_1:_NDIS"/>
      <w:bookmarkEnd w:id="12"/>
      <w:r w:rsidRPr="003316E7">
        <w:t>Figure 1: NDIS Commission's model of evidence informed practice</w:t>
      </w:r>
    </w:p>
    <w:p w14:paraId="2469373C" w14:textId="485106F0" w:rsidR="003316E7" w:rsidRDefault="003316E7" w:rsidP="003316E7">
      <w:r w:rsidRPr="003316E7">
        <w:t xml:space="preserve">The image shows four boxes which are titled: </w:t>
      </w:r>
    </w:p>
    <w:p w14:paraId="6D2EA2B6" w14:textId="69472A31" w:rsidR="003316E7" w:rsidRDefault="003316E7" w:rsidP="003B2A6B">
      <w:pPr>
        <w:pStyle w:val="List1Numbered1"/>
        <w:numPr>
          <w:ilvl w:val="0"/>
          <w:numId w:val="14"/>
        </w:numPr>
      </w:pPr>
      <w:r w:rsidRPr="003316E7">
        <w:t xml:space="preserve">Rights and perspectives of the person with disability. </w:t>
      </w:r>
    </w:p>
    <w:p w14:paraId="126AC098" w14:textId="0211647B" w:rsidR="003316E7" w:rsidRDefault="003316E7" w:rsidP="003316E7">
      <w:pPr>
        <w:pStyle w:val="List1Numbered1"/>
      </w:pPr>
      <w:r w:rsidRPr="003316E7">
        <w:t xml:space="preserve">Best research and evaluation evidence. </w:t>
      </w:r>
    </w:p>
    <w:p w14:paraId="64D7F75C" w14:textId="072EC22B" w:rsidR="003316E7" w:rsidRDefault="003316E7" w:rsidP="003316E7">
      <w:pPr>
        <w:pStyle w:val="List1Numbered1"/>
      </w:pPr>
      <w:r w:rsidRPr="003316E7">
        <w:t xml:space="preserve">Clinical and provider expertise. </w:t>
      </w:r>
    </w:p>
    <w:p w14:paraId="16D98FDC" w14:textId="2FD68F28" w:rsidR="003316E7" w:rsidRDefault="003316E7" w:rsidP="003316E7">
      <w:pPr>
        <w:pStyle w:val="List1Numbered1"/>
      </w:pPr>
      <w:r w:rsidRPr="003316E7">
        <w:t xml:space="preserve">Information from the implementing or practice context. </w:t>
      </w:r>
    </w:p>
    <w:p w14:paraId="5CCFA43A" w14:textId="3EC0ADD4" w:rsidR="003316E7" w:rsidRDefault="003316E7" w:rsidP="003316E7">
      <w:r w:rsidRPr="003316E7">
        <w:t>Each of the four boxes has an arrow pointing to a central text box which reads: Evidence-informed Practice.</w:t>
      </w:r>
    </w:p>
    <w:p w14:paraId="00D97FCD" w14:textId="31AFEC5F" w:rsidR="00AA5648" w:rsidRDefault="00AA5648" w:rsidP="003316E7">
      <w:r>
        <w:t xml:space="preserve">(Return to </w:t>
      </w:r>
      <w:hyperlink w:anchor="_What_is_evidence-informed" w:history="1">
        <w:r w:rsidR="009C4968" w:rsidRPr="002851AD">
          <w:rPr>
            <w:rStyle w:val="Hyperlink"/>
            <w:u w:val="none"/>
          </w:rPr>
          <w:fldChar w:fldCharType="begin"/>
        </w:r>
        <w:r w:rsidR="009C4968" w:rsidRPr="002851AD">
          <w:rPr>
            <w:rStyle w:val="Hyperlink"/>
            <w:u w:val="none"/>
          </w:rPr>
          <w:instrText xml:space="preserve"> REF _Ref138997080 \h  \* MERGEFORMAT </w:instrText>
        </w:r>
        <w:r w:rsidR="009C4968" w:rsidRPr="002851AD">
          <w:rPr>
            <w:rStyle w:val="Hyperlink"/>
            <w:u w:val="none"/>
          </w:rPr>
        </w:r>
        <w:r w:rsidR="009C4968" w:rsidRPr="002851AD">
          <w:rPr>
            <w:rStyle w:val="Hyperlink"/>
            <w:u w:val="none"/>
          </w:rPr>
          <w:fldChar w:fldCharType="separate"/>
        </w:r>
        <w:r w:rsidR="009C4968" w:rsidRPr="002851AD">
          <w:rPr>
            <w:rStyle w:val="Hyperlink"/>
            <w:u w:val="none"/>
          </w:rPr>
          <w:t>Figure 1: NDIS Commission's model of evidence-informed practice</w:t>
        </w:r>
        <w:r w:rsidR="009C4968" w:rsidRPr="002851AD">
          <w:rPr>
            <w:rStyle w:val="Hyperlink"/>
            <w:u w:val="none"/>
          </w:rPr>
          <w:fldChar w:fldCharType="end"/>
        </w:r>
      </w:hyperlink>
      <w:r w:rsidR="009C4968" w:rsidRPr="009C4968">
        <w:t>, page 3</w:t>
      </w:r>
      <w:r>
        <w:t>.)</w:t>
      </w:r>
    </w:p>
    <w:p w14:paraId="70053E18" w14:textId="77777777" w:rsidR="00AA5648" w:rsidRDefault="00AA5648" w:rsidP="00AA5648">
      <w:pPr>
        <w:pStyle w:val="Heading2"/>
      </w:pPr>
      <w:bookmarkStart w:id="13" w:name="_Figure_2:_Hierarchy"/>
      <w:bookmarkEnd w:id="13"/>
      <w:r w:rsidRPr="00AA5648">
        <w:t xml:space="preserve">Figure 2: Hierarchy of research evidence </w:t>
      </w:r>
    </w:p>
    <w:p w14:paraId="2AD17BD9" w14:textId="4446ED2A" w:rsidR="00AA5648" w:rsidRDefault="00AA5648" w:rsidP="003316E7">
      <w:r w:rsidRPr="00AA5648">
        <w:t xml:space="preserve">The image shows six different types of research evidence organised along a continuum, with the weakest evidence on the far left and the strongest evidence on the far right. </w:t>
      </w:r>
    </w:p>
    <w:p w14:paraId="45D78808" w14:textId="77777777" w:rsidR="00AA5648" w:rsidRDefault="00AA5648" w:rsidP="003316E7">
      <w:r w:rsidRPr="00AA5648">
        <w:t xml:space="preserve">From weakest to strongest, the types of research evidence are: </w:t>
      </w:r>
    </w:p>
    <w:p w14:paraId="62753CC2" w14:textId="23FD26CD" w:rsidR="00AA5648" w:rsidRDefault="00AA5648" w:rsidP="003B2A6B">
      <w:pPr>
        <w:pStyle w:val="List1Numbered1"/>
        <w:numPr>
          <w:ilvl w:val="0"/>
          <w:numId w:val="15"/>
        </w:numPr>
      </w:pPr>
      <w:r w:rsidRPr="00AA5648">
        <w:t xml:space="preserve">Editorial and expert opinion. </w:t>
      </w:r>
    </w:p>
    <w:p w14:paraId="0E3C2E27" w14:textId="67548B5D" w:rsidR="00AA5648" w:rsidRDefault="00AA5648" w:rsidP="00AA5648">
      <w:pPr>
        <w:pStyle w:val="List1Numbered1"/>
      </w:pPr>
      <w:r w:rsidRPr="00AA5648">
        <w:t xml:space="preserve">Case series and case reports. </w:t>
      </w:r>
    </w:p>
    <w:p w14:paraId="78B73466" w14:textId="730AC920" w:rsidR="00AA5648" w:rsidRDefault="00AA5648" w:rsidP="00AA5648">
      <w:pPr>
        <w:pStyle w:val="List1Numbered1"/>
      </w:pPr>
      <w:r w:rsidRPr="00AA5648">
        <w:t xml:space="preserve">Case control studies. </w:t>
      </w:r>
    </w:p>
    <w:p w14:paraId="5D09B6B4" w14:textId="39F60D87" w:rsidR="00AA5648" w:rsidRDefault="00AA5648" w:rsidP="00AA5648">
      <w:pPr>
        <w:pStyle w:val="List1Numbered1"/>
      </w:pPr>
      <w:r w:rsidRPr="00AA5648">
        <w:t xml:space="preserve">Cohort studies. </w:t>
      </w:r>
    </w:p>
    <w:p w14:paraId="04C548C3" w14:textId="1BB6956D" w:rsidR="00AA5648" w:rsidRDefault="00AA5648" w:rsidP="00AA5648">
      <w:pPr>
        <w:pStyle w:val="List1Numbered1"/>
      </w:pPr>
      <w:r w:rsidRPr="00AA5648">
        <w:t xml:space="preserve">Randomised control trials. </w:t>
      </w:r>
    </w:p>
    <w:p w14:paraId="398CDA0B" w14:textId="3216B3B0" w:rsidR="00AA5648" w:rsidRDefault="00AA5648" w:rsidP="00AA5648">
      <w:pPr>
        <w:pStyle w:val="List1Numbered1"/>
      </w:pPr>
      <w:r w:rsidRPr="00AA5648">
        <w:t>Systematic reviews.</w:t>
      </w:r>
    </w:p>
    <w:p w14:paraId="643D987E" w14:textId="4DF3E1FF" w:rsidR="003316E7" w:rsidRDefault="00AA5648" w:rsidP="003316E7">
      <w:r>
        <w:t>(Return to</w:t>
      </w:r>
      <w:r w:rsidR="00427CD3">
        <w:t xml:space="preserve"> </w:t>
      </w:r>
      <w:r w:rsidR="00427CD3">
        <w:fldChar w:fldCharType="begin"/>
      </w:r>
      <w:r w:rsidR="00427CD3">
        <w:instrText xml:space="preserve"> REF _Ref138997576 \h </w:instrText>
      </w:r>
      <w:r w:rsidR="00427CD3">
        <w:fldChar w:fldCharType="separate"/>
      </w:r>
      <w:r w:rsidR="00427CD3" w:rsidRPr="00D63426">
        <w:t xml:space="preserve">Figure </w:t>
      </w:r>
      <w:r w:rsidR="00427CD3" w:rsidRPr="00D63426">
        <w:rPr>
          <w:noProof/>
        </w:rPr>
        <w:t>2</w:t>
      </w:r>
      <w:r w:rsidR="00427CD3" w:rsidRPr="00D63426">
        <w:t>: Hierarchy of research evidence</w:t>
      </w:r>
      <w:r w:rsidR="00427CD3">
        <w:fldChar w:fldCharType="end"/>
      </w:r>
      <w:r w:rsidR="00E1442F">
        <w:t>, page 5.</w:t>
      </w:r>
      <w:r>
        <w:t>)</w:t>
      </w:r>
      <w:r w:rsidR="003316E7">
        <w:br w:type="page"/>
      </w:r>
    </w:p>
    <w:p w14:paraId="64FD279E" w14:textId="27182484" w:rsidR="006E6ACB" w:rsidRPr="00690A48" w:rsidRDefault="006E6ACB" w:rsidP="00B74E48">
      <w:pPr>
        <w:pStyle w:val="Heading1"/>
        <w:spacing w:before="480"/>
        <w:rPr>
          <w:rFonts w:eastAsia="Times New Roman"/>
        </w:rPr>
      </w:pPr>
      <w:r w:rsidRPr="00690A48">
        <w:rPr>
          <w:rFonts w:eastAsia="Times New Roman"/>
        </w:rPr>
        <w:lastRenderedPageBreak/>
        <w:t xml:space="preserve">References </w:t>
      </w:r>
    </w:p>
    <w:p w14:paraId="2B186448" w14:textId="77777777" w:rsidR="00CA22BD" w:rsidRPr="00073A42" w:rsidRDefault="00CA22BD" w:rsidP="00073A42">
      <w:pPr>
        <w:rPr>
          <w:rStyle w:val="Hyperlink"/>
          <w:rFonts w:cstheme="minorHAnsi"/>
          <w:szCs w:val="22"/>
        </w:rPr>
      </w:pPr>
      <w:r w:rsidRPr="00073A42">
        <w:rPr>
          <w:rStyle w:val="Hyperlink"/>
          <w:rFonts w:cstheme="minorHAnsi"/>
          <w:color w:val="000000" w:themeColor="text1"/>
          <w:szCs w:val="22"/>
          <w:u w:val="none"/>
        </w:rPr>
        <w:t xml:space="preserve">Australian Government (2018) </w:t>
      </w:r>
      <w:hyperlink r:id="rId50" w:history="1">
        <w:r w:rsidRPr="00073A42">
          <w:rPr>
            <w:rStyle w:val="Hyperlink"/>
            <w:rFonts w:cstheme="minorHAnsi"/>
            <w:i/>
            <w:szCs w:val="22"/>
          </w:rPr>
          <w:t>‘Australian Code for the Responsible Conduct of Research’</w:t>
        </w:r>
      </w:hyperlink>
      <w:r w:rsidRPr="00073A42">
        <w:rPr>
          <w:rStyle w:val="Hyperlink"/>
          <w:rFonts w:cstheme="minorHAnsi"/>
          <w:color w:val="000000" w:themeColor="text1"/>
          <w:szCs w:val="22"/>
          <w:u w:val="none"/>
        </w:rPr>
        <w:t>, NHMRC website, accessed 24 February 2023.</w:t>
      </w:r>
    </w:p>
    <w:p w14:paraId="11497930" w14:textId="77777777" w:rsidR="00794F6E" w:rsidRPr="00073A42" w:rsidRDefault="00794F6E" w:rsidP="00073A42">
      <w:r w:rsidRPr="00073A42">
        <w:t xml:space="preserve">Davis E, Young D, Gilson M, Swift E, Chan J, Gibbs L, Tonmukayakul U, Reddihough D and Williams K (2018) ‘A Rights-Based approach for service providers to measure the quality of life of children with a disability’, </w:t>
      </w:r>
      <w:r w:rsidRPr="00073A42">
        <w:rPr>
          <w:i/>
        </w:rPr>
        <w:t>Value Health</w:t>
      </w:r>
      <w:r w:rsidRPr="00073A42">
        <w:t>, 21:1419–27.</w:t>
      </w:r>
      <w:r w:rsidRPr="00073A42" w:rsidDel="005F2F5A">
        <w:t xml:space="preserve"> </w:t>
      </w:r>
    </w:p>
    <w:p w14:paraId="2E47A93F" w14:textId="77777777" w:rsidR="00073A42" w:rsidRDefault="00794F6E" w:rsidP="00073A42">
      <w:r w:rsidRPr="00073A42">
        <w:t xml:space="preserve">Hoffmann T, Bennett S and Mar CD (2016) </w:t>
      </w:r>
      <w:r w:rsidRPr="00073A42">
        <w:rPr>
          <w:i/>
        </w:rPr>
        <w:t>Evidence-based practice across the health professions</w:t>
      </w:r>
      <w:r w:rsidRPr="00073A42">
        <w:t>,</w:t>
      </w:r>
      <w:r w:rsidRPr="00073A42">
        <w:rPr>
          <w:i/>
        </w:rPr>
        <w:t xml:space="preserve"> </w:t>
      </w:r>
      <w:r w:rsidRPr="00073A42">
        <w:t>3rd edn, Elsevier Australia, Chatswood.</w:t>
      </w:r>
    </w:p>
    <w:p w14:paraId="27958170" w14:textId="509942B3" w:rsidR="00912857" w:rsidRDefault="00912857" w:rsidP="00073A42">
      <w:pPr>
        <w:rPr>
          <w:rFonts w:cstheme="minorHAnsi"/>
        </w:rPr>
      </w:pPr>
      <w:r w:rsidRPr="00073A42">
        <w:rPr>
          <w:rFonts w:cstheme="minorHAnsi"/>
        </w:rPr>
        <w:t>Jackson S (2016) ‘Help or harm? Spotting fad interventions’,</w:t>
      </w:r>
      <w:r w:rsidRPr="00073A42">
        <w:rPr>
          <w:rFonts w:cstheme="minorHAnsi"/>
          <w:i/>
        </w:rPr>
        <w:t xml:space="preserve"> Altogether Autism Journal,</w:t>
      </w:r>
      <w:r w:rsidRPr="00073A42">
        <w:rPr>
          <w:rFonts w:cstheme="minorHAnsi"/>
        </w:rPr>
        <w:t xml:space="preserve"> 1: 8-9.</w:t>
      </w:r>
    </w:p>
    <w:p w14:paraId="22A0B2B5" w14:textId="00A9DB35" w:rsidR="00246ED2" w:rsidRPr="00073A42" w:rsidRDefault="00246ED2" w:rsidP="00073A42">
      <w:pPr>
        <w:rPr>
          <w:rFonts w:cstheme="minorHAnsi"/>
        </w:rPr>
      </w:pPr>
      <w:r>
        <w:rPr>
          <w:rFonts w:cstheme="minorHAnsi"/>
        </w:rPr>
        <w:t>NHMRC</w:t>
      </w:r>
      <w:r w:rsidR="00B9649B">
        <w:rPr>
          <w:rFonts w:cstheme="minorHAnsi"/>
        </w:rPr>
        <w:t xml:space="preserve"> (2019) ‘</w:t>
      </w:r>
      <w:hyperlink r:id="rId51" w:history="1">
        <w:r w:rsidR="00B9649B">
          <w:rPr>
            <w:rStyle w:val="Hyperlink"/>
          </w:rPr>
          <w:t>Identifying and managing conflicts of interest’</w:t>
        </w:r>
      </w:hyperlink>
      <w:r w:rsidR="00B9649B">
        <w:t xml:space="preserve"> NHMRC website, accessed 27 June 2023.</w:t>
      </w:r>
    </w:p>
    <w:p w14:paraId="360D1EF1" w14:textId="614B7A08" w:rsidR="006E6ACB" w:rsidRPr="00073A42" w:rsidRDefault="008A61CE" w:rsidP="00073A42">
      <w:pPr>
        <w:rPr>
          <w:rStyle w:val="Hyperlink"/>
          <w:rFonts w:cstheme="minorHAnsi"/>
          <w:color w:val="000000" w:themeColor="text1"/>
          <w:szCs w:val="22"/>
          <w:u w:val="none"/>
        </w:rPr>
      </w:pPr>
      <w:r w:rsidRPr="00073A42">
        <w:t xml:space="preserve">NSW Department of Communities and Justice (2022) </w:t>
      </w:r>
      <w:hyperlink r:id="rId52" w:history="1">
        <w:r w:rsidRPr="00073A42">
          <w:rPr>
            <w:rStyle w:val="Hyperlink"/>
            <w:rFonts w:cstheme="minorHAnsi"/>
            <w:i/>
            <w:szCs w:val="22"/>
          </w:rPr>
          <w:t>‘</w:t>
        </w:r>
        <w:r w:rsidR="006E6ACB" w:rsidRPr="00073A42">
          <w:rPr>
            <w:rStyle w:val="Hyperlink"/>
            <w:rFonts w:cstheme="minorHAnsi"/>
            <w:i/>
            <w:szCs w:val="22"/>
          </w:rPr>
          <w:t>What is evidence-informed practice?</w:t>
        </w:r>
        <w:r w:rsidRPr="00073A42">
          <w:rPr>
            <w:rStyle w:val="Hyperlink"/>
            <w:rFonts w:cstheme="minorHAnsi"/>
            <w:i/>
            <w:szCs w:val="22"/>
          </w:rPr>
          <w:t>’</w:t>
        </w:r>
      </w:hyperlink>
      <w:r w:rsidR="00CA22BD" w:rsidRPr="00073A42">
        <w:t>,</w:t>
      </w:r>
      <w:r w:rsidRPr="00073A42">
        <w:rPr>
          <w:rStyle w:val="Hyperlink"/>
          <w:rFonts w:cstheme="minorHAnsi"/>
          <w:color w:val="000000" w:themeColor="text1"/>
          <w:szCs w:val="22"/>
          <w:u w:val="none"/>
        </w:rPr>
        <w:t xml:space="preserve"> DCJ website, accessed 24 February 2023.</w:t>
      </w:r>
    </w:p>
    <w:p w14:paraId="2002A02A" w14:textId="2E6876B2" w:rsidR="00741917" w:rsidRPr="00073A42" w:rsidRDefault="00741917" w:rsidP="00073A42">
      <w:pPr>
        <w:rPr>
          <w:rStyle w:val="Hyperlink"/>
          <w:rFonts w:cstheme="minorHAnsi"/>
          <w:color w:val="000000" w:themeColor="text1"/>
          <w:szCs w:val="22"/>
          <w:u w:val="none"/>
        </w:rPr>
      </w:pPr>
      <w:r w:rsidRPr="00073A42">
        <w:t xml:space="preserve">NSW Department of Communities and Justice (2020) </w:t>
      </w:r>
      <w:hyperlink r:id="rId53" w:history="1">
        <w:r w:rsidRPr="00073A42">
          <w:rPr>
            <w:rStyle w:val="Hyperlink"/>
            <w:i/>
            <w:szCs w:val="22"/>
          </w:rPr>
          <w:t>’What is an Evidence Hierarchy‘</w:t>
        </w:r>
      </w:hyperlink>
      <w:r w:rsidRPr="00073A42">
        <w:t>, DCJ, accessed 22 May 2023.</w:t>
      </w:r>
    </w:p>
    <w:p w14:paraId="2AAF9F1C" w14:textId="6AC08E6C" w:rsidR="00B74E48" w:rsidRPr="00073A42" w:rsidRDefault="00794F6E" w:rsidP="00073A42">
      <w:r w:rsidRPr="00073A42">
        <w:t xml:space="preserve">Sackett DL, Rosenberg WMC, Gray JAM, Haynes RB and Richardson WS (1996) ‘Evidence Based Medicine: What It Is And What It Isn’t’, </w:t>
      </w:r>
      <w:r w:rsidRPr="00073A42">
        <w:rPr>
          <w:i/>
        </w:rPr>
        <w:t>British Medical Journal</w:t>
      </w:r>
      <w:r w:rsidRPr="00073A42">
        <w:t>, 312:71–72.</w:t>
      </w:r>
    </w:p>
    <w:p w14:paraId="5413EC04" w14:textId="77D2E487" w:rsidR="005C5F81" w:rsidRDefault="00794F6E" w:rsidP="00073A42">
      <w:r w:rsidRPr="00073A42">
        <w:t xml:space="preserve">Straus S, Glasziou P, Richardson W and Haynes R (2011) </w:t>
      </w:r>
      <w:r w:rsidRPr="00073A42">
        <w:rPr>
          <w:i/>
        </w:rPr>
        <w:t>Evidence-based medicine: how to practice and teach it</w:t>
      </w:r>
      <w:r w:rsidRPr="00073A42">
        <w:t>, 4th edn, Churchill Livingstone Elsevier, Edinburgh.</w:t>
      </w:r>
    </w:p>
    <w:p w14:paraId="5B7CCB91" w14:textId="77777777" w:rsidR="003F737C" w:rsidRDefault="003F737C" w:rsidP="00C14592">
      <w:pPr>
        <w:pStyle w:val="Heading1"/>
        <w:spacing w:before="480"/>
        <w:rPr>
          <w:rFonts w:eastAsia="Times New Roman"/>
        </w:rPr>
      </w:pPr>
      <w:r>
        <w:rPr>
          <w:rFonts w:eastAsia="Times New Roman"/>
        </w:rPr>
        <w:t>Acknowledgement</w:t>
      </w:r>
    </w:p>
    <w:p w14:paraId="0CA43E6A" w14:textId="4C64CBFC" w:rsidR="003F737C" w:rsidRDefault="003F737C" w:rsidP="003F737C">
      <w:pPr>
        <w:spacing w:before="120" w:after="120"/>
      </w:pPr>
      <w:r>
        <w:rPr>
          <w:rStyle w:val="ui-provider"/>
        </w:rPr>
        <w:t xml:space="preserve">The NDIS Commission would like to acknowledge the important contributions made to this Guide by people with lived experience of </w:t>
      </w:r>
      <w:r>
        <w:t>disability, the Senior Practitioners Practice Leadership Group and the Alliance 20.</w:t>
      </w:r>
    </w:p>
    <w:p w14:paraId="5836D08A" w14:textId="27B95951" w:rsidR="00C14592" w:rsidRDefault="00C14592" w:rsidP="00C14592">
      <w:pPr>
        <w:pStyle w:val="Heading1"/>
        <w:spacing w:before="480"/>
        <w:rPr>
          <w:rFonts w:eastAsia="Times New Roman"/>
        </w:rPr>
      </w:pPr>
      <w:r>
        <w:rPr>
          <w:rFonts w:eastAsia="Times New Roman"/>
        </w:rPr>
        <w:t>For more information</w:t>
      </w:r>
    </w:p>
    <w:p w14:paraId="11DF2082" w14:textId="77777777" w:rsidR="00C14592" w:rsidRDefault="00C14592" w:rsidP="00C14592">
      <w:pPr>
        <w:spacing w:line="276" w:lineRule="auto"/>
        <w:rPr>
          <w:sz w:val="24"/>
          <w:szCs w:val="24"/>
        </w:rPr>
      </w:pPr>
      <w:r>
        <w:rPr>
          <w:sz w:val="24"/>
          <w:szCs w:val="24"/>
        </w:rPr>
        <w:t>Contact the NDIS Quality and Safeguards Commission</w:t>
      </w:r>
    </w:p>
    <w:p w14:paraId="62A45CB8" w14:textId="36C2F64B" w:rsidR="00C14592" w:rsidRDefault="00C14592" w:rsidP="00C14592">
      <w:pPr>
        <w:spacing w:line="276" w:lineRule="auto"/>
        <w:rPr>
          <w:sz w:val="24"/>
          <w:szCs w:val="24"/>
          <w:lang w:val="fr-FR"/>
        </w:rPr>
      </w:pPr>
      <w:r>
        <w:rPr>
          <w:sz w:val="24"/>
          <w:szCs w:val="24"/>
          <w:lang w:val="fr-FR"/>
        </w:rPr>
        <w:t xml:space="preserve">Phone:  </w:t>
      </w:r>
      <w:r>
        <w:rPr>
          <w:sz w:val="24"/>
          <w:szCs w:val="24"/>
          <w:lang w:val="fr-FR"/>
        </w:rPr>
        <w:tab/>
      </w:r>
      <w:hyperlink r:id="rId54" w:history="1">
        <w:r>
          <w:rPr>
            <w:rStyle w:val="Hyperlink"/>
            <w:rFonts w:cstheme="minorHAnsi"/>
            <w:bCs/>
            <w:spacing w:val="-5"/>
            <w:sz w:val="24"/>
            <w:szCs w:val="24"/>
            <w:lang w:val="fr-FR"/>
          </w:rPr>
          <w:t>1800 035 544</w:t>
        </w:r>
      </w:hyperlink>
      <w:r>
        <w:rPr>
          <w:sz w:val="24"/>
          <w:szCs w:val="24"/>
          <w:lang w:val="fr-FR"/>
        </w:rPr>
        <w:t xml:space="preserve"> </w:t>
      </w:r>
      <w:r>
        <w:rPr>
          <w:sz w:val="24"/>
          <w:szCs w:val="24"/>
          <w:lang w:val="fr-FR"/>
        </w:rPr>
        <w:tab/>
        <w:t>(Mon-Fri)</w:t>
      </w:r>
    </w:p>
    <w:p w14:paraId="65FED54E" w14:textId="473B9E30" w:rsidR="00C14592" w:rsidRDefault="00C14592" w:rsidP="00C14592">
      <w:pPr>
        <w:spacing w:line="276" w:lineRule="auto"/>
        <w:rPr>
          <w:sz w:val="24"/>
          <w:szCs w:val="24"/>
        </w:rPr>
      </w:pPr>
      <w:r>
        <w:rPr>
          <w:sz w:val="24"/>
          <w:szCs w:val="24"/>
        </w:rPr>
        <w:t xml:space="preserve">Website: </w:t>
      </w:r>
      <w:r>
        <w:rPr>
          <w:sz w:val="24"/>
          <w:szCs w:val="24"/>
        </w:rPr>
        <w:tab/>
      </w:r>
      <w:hyperlink r:id="rId55" w:history="1">
        <w:r w:rsidRPr="002127F6">
          <w:rPr>
            <w:rStyle w:val="Hyperlink"/>
            <w:sz w:val="24"/>
            <w:szCs w:val="24"/>
          </w:rPr>
          <w:t>https://ndiscommission.gov.au/resources/provider-and-worker-resources</w:t>
        </w:r>
      </w:hyperlink>
    </w:p>
    <w:p w14:paraId="5685F77A" w14:textId="18786456" w:rsidR="00C14592" w:rsidRDefault="00C14592" w:rsidP="00C14592">
      <w:pPr>
        <w:spacing w:line="276" w:lineRule="auto"/>
        <w:rPr>
          <w:rFonts w:cstheme="minorHAnsi"/>
          <w:sz w:val="24"/>
          <w:szCs w:val="24"/>
          <w:shd w:val="clear" w:color="auto" w:fill="FFFFFF"/>
          <w:lang w:val="fr-FR"/>
        </w:rPr>
      </w:pPr>
      <w:r>
        <w:rPr>
          <w:sz w:val="24"/>
          <w:szCs w:val="24"/>
          <w:shd w:val="clear" w:color="auto" w:fill="FFFFFF"/>
          <w:lang w:val="fr-FR"/>
        </w:rPr>
        <w:t>Email:</w:t>
      </w:r>
      <w:r>
        <w:rPr>
          <w:sz w:val="24"/>
          <w:szCs w:val="24"/>
          <w:shd w:val="clear" w:color="auto" w:fill="FFFFFF"/>
          <w:lang w:val="fr-FR"/>
        </w:rPr>
        <w:tab/>
      </w:r>
      <w:r>
        <w:rPr>
          <w:sz w:val="24"/>
          <w:szCs w:val="24"/>
          <w:shd w:val="clear" w:color="auto" w:fill="FFFFFF"/>
          <w:lang w:val="fr-FR"/>
        </w:rPr>
        <w:tab/>
      </w:r>
      <w:hyperlink r:id="rId56" w:history="1">
        <w:r w:rsidRPr="002127F6">
          <w:rPr>
            <w:rStyle w:val="Hyperlink"/>
            <w:sz w:val="24"/>
            <w:szCs w:val="24"/>
            <w:shd w:val="clear" w:color="auto" w:fill="FFFFFF"/>
            <w:lang w:val="fr-FR"/>
          </w:rPr>
          <w:t>b</w:t>
        </w:r>
        <w:r w:rsidRPr="002127F6">
          <w:rPr>
            <w:rStyle w:val="Hyperlink"/>
            <w:rFonts w:cstheme="minorHAnsi"/>
            <w:sz w:val="24"/>
            <w:szCs w:val="24"/>
            <w:shd w:val="clear" w:color="auto" w:fill="FFFFFF"/>
            <w:lang w:val="fr-FR"/>
          </w:rPr>
          <w:t>ehavioursupport@ndiscommission.gov.au</w:t>
        </w:r>
      </w:hyperlink>
      <w:r>
        <w:rPr>
          <w:rFonts w:cstheme="minorHAnsi"/>
          <w:sz w:val="24"/>
          <w:szCs w:val="24"/>
          <w:shd w:val="clear" w:color="auto" w:fill="FFFFFF"/>
          <w:lang w:val="fr-FR"/>
        </w:rPr>
        <w:t xml:space="preserve"> </w:t>
      </w:r>
    </w:p>
    <w:p w14:paraId="70960D72" w14:textId="1FB4CF83" w:rsidR="00C14592" w:rsidRPr="008930A0" w:rsidRDefault="003C7930" w:rsidP="008930A0">
      <w:pPr>
        <w:spacing w:line="276" w:lineRule="auto"/>
        <w:ind w:left="720" w:firstLine="720"/>
        <w:rPr>
          <w:sz w:val="24"/>
          <w:szCs w:val="24"/>
          <w:shd w:val="clear" w:color="auto" w:fill="FFFFFF"/>
          <w:lang w:val="fr-FR"/>
        </w:rPr>
      </w:pPr>
      <w:hyperlink r:id="rId57" w:history="1">
        <w:r w:rsidR="00C14592" w:rsidRPr="002127F6">
          <w:rPr>
            <w:rStyle w:val="Hyperlink"/>
            <w:sz w:val="24"/>
            <w:szCs w:val="24"/>
            <w:shd w:val="clear" w:color="auto" w:fill="FFFFFF"/>
            <w:lang w:val="fr-FR"/>
          </w:rPr>
          <w:t>researchandpractice@ndiscommission.gov.au</w:t>
        </w:r>
      </w:hyperlink>
    </w:p>
    <w:sectPr w:rsidR="00C14592" w:rsidRPr="008930A0" w:rsidSect="00D63426">
      <w:headerReference w:type="even" r:id="rId58"/>
      <w:headerReference w:type="default" r:id="rId59"/>
      <w:footerReference w:type="default" r:id="rId60"/>
      <w:headerReference w:type="first" r:id="rId61"/>
      <w:footerReference w:type="first" r:id="rId62"/>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1BBAA" w14:textId="77777777" w:rsidR="003C7930" w:rsidRDefault="003C7930" w:rsidP="008E21DE">
      <w:pPr>
        <w:spacing w:before="0" w:after="0"/>
      </w:pPr>
      <w:r>
        <w:separator/>
      </w:r>
    </w:p>
  </w:endnote>
  <w:endnote w:type="continuationSeparator" w:id="0">
    <w:p w14:paraId="0F176117" w14:textId="77777777" w:rsidR="003C7930" w:rsidRDefault="003C793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60DE" w14:textId="77777777" w:rsidR="00DC7F93" w:rsidRDefault="00DC7F93" w:rsidP="00362AB6">
    <w:pPr>
      <w:pStyle w:val="Footer"/>
    </w:pPr>
    <w:r>
      <w:rPr>
        <w:b/>
        <w:bCs/>
        <w:noProof/>
        <w:lang w:eastAsia="en-AU"/>
      </w:rPr>
      <mc:AlternateContent>
        <mc:Choice Requires="wps">
          <w:drawing>
            <wp:inline distT="0" distB="0" distL="0" distR="0" wp14:anchorId="0EFEB647" wp14:editId="5CA37052">
              <wp:extent cx="5724000" cy="7920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B9A6A7"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" fillcolor="#539250 [3207]" stroked="f" strokeweight="1pt">
              <v:fill color2="#83b14c [3208]" angle="90" colors="0 #539250;.5 #83b14c" focus="100%" type="gradient">
                <o:fill v:ext="view" type="gradientUnscaled"/>
              </v:fill>
              <w10:anchorlock/>
            </v:rect>
          </w:pict>
        </mc:Fallback>
      </mc:AlternateContent>
    </w:r>
  </w:p>
  <w:p w14:paraId="3BD41471" w14:textId="0C51347F" w:rsidR="00DC7F93" w:rsidRPr="00080615" w:rsidRDefault="00DC7F93"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260F" w14:textId="77777777" w:rsidR="00DC7F93" w:rsidRDefault="00DC7F93" w:rsidP="00317F9A">
    <w:pPr>
      <w:pStyle w:val="Footer"/>
      <w:rPr>
        <w:sz w:val="18"/>
        <w:szCs w:val="18"/>
      </w:rPr>
    </w:pPr>
    <w:r>
      <w:rPr>
        <w:b/>
        <w:bCs/>
        <w:noProof/>
        <w:lang w:eastAsia="en-AU"/>
      </w:rPr>
      <mc:AlternateContent>
        <mc:Choice Requires="wps">
          <w:drawing>
            <wp:inline distT="0" distB="0" distL="0" distR="0" wp14:anchorId="1083407E" wp14:editId="164DDFAB">
              <wp:extent cx="5724525" cy="80010"/>
              <wp:effectExtent l="0" t="0" r="9525" b="0"/>
              <wp:docPr id="7" name="Rectangle 7"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F8649A" id="Rectangle 7"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" fillcolor="#539250 [3207]" stroked="f" strokeweight="1pt">
              <v:fill color2="#83b14c [3208]" angle="90" colors="0 #539250;.5 #83b14c" focus="100%" type="gradient">
                <o:fill v:ext="view" type="gradientUnscaled"/>
              </v:fill>
              <w10:anchorlock/>
            </v:rect>
          </w:pict>
        </mc:Fallback>
      </mc:AlternateContent>
    </w:r>
  </w:p>
  <w:p w14:paraId="20255272" w14:textId="377399CF" w:rsidR="00DC7F93" w:rsidRPr="00317F9A" w:rsidRDefault="00DC7F93" w:rsidP="00317F9A">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04F64">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9255" w14:textId="77777777" w:rsidR="00DC7F93" w:rsidRDefault="00DC7F93" w:rsidP="005209DA">
    <w:pPr>
      <w:pStyle w:val="Footer"/>
      <w:rPr>
        <w:sz w:val="18"/>
        <w:szCs w:val="18"/>
      </w:rPr>
    </w:pPr>
    <w:r>
      <w:rPr>
        <w:b/>
        <w:bCs/>
        <w:noProof/>
        <w:lang w:eastAsia="en-AU"/>
      </w:rPr>
      <mc:AlternateContent>
        <mc:Choice Requires="wps">
          <w:drawing>
            <wp:inline distT="0" distB="0" distL="0" distR="0" wp14:anchorId="367FC19D" wp14:editId="5E338404">
              <wp:extent cx="5724525" cy="80010"/>
              <wp:effectExtent l="0" t="0" r="9525" b="0"/>
              <wp:docPr id="14" name="Rectangle 14"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05A791" id="Rectangle 14"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0D0A98E9" w14:textId="1AB3CFA4" w:rsidR="00DC7F93" w:rsidRPr="005209DA" w:rsidRDefault="00DC7F93" w:rsidP="005209DA">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E04F6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2B645" w14:textId="77777777" w:rsidR="003C7930" w:rsidRDefault="003C7930" w:rsidP="008E21DE">
      <w:pPr>
        <w:spacing w:before="0" w:after="0"/>
      </w:pPr>
      <w:r>
        <w:separator/>
      </w:r>
    </w:p>
  </w:footnote>
  <w:footnote w:type="continuationSeparator" w:id="0">
    <w:p w14:paraId="0A41C9D1" w14:textId="77777777" w:rsidR="003C7930" w:rsidRDefault="003C7930"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B0D6" w14:textId="6E6D4B9B" w:rsidR="00DC7F93" w:rsidRDefault="00DC7F93">
    <w:pPr>
      <w:pStyle w:val="Header"/>
    </w:pPr>
  </w:p>
  <w:p w14:paraId="69CFE9F7" w14:textId="77777777" w:rsidR="00DC7F93" w:rsidRDefault="00DC7F93">
    <w:pPr>
      <w:pStyle w:val="Header"/>
    </w:pPr>
    <w:r>
      <w:rPr>
        <w:b w:val="0"/>
        <w:bCs/>
        <w:noProof/>
        <w:lang w:eastAsia="en-AU"/>
      </w:rPr>
      <mc:AlternateContent>
        <mc:Choice Requires="wps">
          <w:drawing>
            <wp:inline distT="0" distB="0" distL="0" distR="0" wp14:anchorId="5C0FC750" wp14:editId="645E415F">
              <wp:extent cx="5724000" cy="79200"/>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9542F3"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D7FB" w14:textId="1F0C4EFB" w:rsidR="00DC7F93" w:rsidRDefault="00DC7F93" w:rsidP="00FC6C11">
    <w:pPr>
      <w:pStyle w:val="Header"/>
      <w:jc w:val="both"/>
    </w:pPr>
    <w:r>
      <w:rPr>
        <w:noProof/>
        <w:lang w:eastAsia="en-AU"/>
      </w:rPr>
      <mc:AlternateContent>
        <mc:Choice Requires="wps">
          <w:drawing>
            <wp:anchor distT="0" distB="0" distL="114300" distR="114300" simplePos="0" relativeHeight="251657216" behindDoc="1" locked="0" layoutInCell="1" allowOverlap="1" wp14:anchorId="0518F247" wp14:editId="169E0FDD">
              <wp:simplePos x="0" y="0"/>
              <wp:positionH relativeFrom="margin">
                <wp:posOffset>-2509658</wp:posOffset>
              </wp:positionH>
              <wp:positionV relativeFrom="paragraph">
                <wp:posOffset>-360487</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93690D4" id="Rectangle 3" o:spid="_x0000_s1026" alt="Decorative background" style="position:absolute;margin-left:-197.6pt;margin-top:-28.4pt;width:960pt;height:993.75pt;z-index:-251638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" fillcolor="#5f2e74 [3204]" stroked="f" strokeweight="1pt">
              <w10:wrap anchorx="margin"/>
            </v:rect>
          </w:pict>
        </mc:Fallback>
      </mc:AlternateContent>
    </w:r>
    <w:r>
      <w:rPr>
        <w:noProof/>
        <w:lang w:eastAsia="en-AU"/>
      </w:rPr>
      <w:drawing>
        <wp:inline distT="0" distB="0" distL="0" distR="0" wp14:anchorId="632EC090" wp14:editId="139E48AE">
          <wp:extent cx="3572510" cy="1109345"/>
          <wp:effectExtent l="0" t="0" r="0" b="0"/>
          <wp:docPr id="30" name="Picture 30"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8BACA" w14:textId="3031527B" w:rsidR="00DC7F93" w:rsidRDefault="00DC7F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B2D7" w14:textId="77777777" w:rsidR="00DC7F93" w:rsidRDefault="00DC7F93" w:rsidP="00317F9A">
    <w:pPr>
      <w:pStyle w:val="Header"/>
    </w:pPr>
  </w:p>
  <w:p w14:paraId="73DE4F4D" w14:textId="54DE621D" w:rsidR="00DC7F93" w:rsidRPr="00317F9A" w:rsidRDefault="00DC7F93" w:rsidP="00317F9A">
    <w:pPr>
      <w:pStyle w:val="Header"/>
    </w:pPr>
    <w:r>
      <w:rPr>
        <w:b w:val="0"/>
        <w:bCs/>
        <w:noProof/>
        <w:lang w:eastAsia="en-AU"/>
      </w:rPr>
      <mc:AlternateContent>
        <mc:Choice Requires="wps">
          <w:drawing>
            <wp:inline distT="0" distB="0" distL="0" distR="0" wp14:anchorId="05C9F409" wp14:editId="2FA3B9E3">
              <wp:extent cx="5724000" cy="79200"/>
              <wp:effectExtent l="0" t="0" r="0" b="0"/>
              <wp:docPr id="9" name="Rectangle 9"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0ACEB1" id="Rectangle 9"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5D0E" w14:textId="71FA7397" w:rsidR="00DC7F93" w:rsidRDefault="00DC7F93">
    <w:pPr>
      <w:pStyle w:val="Header"/>
    </w:pPr>
    <w:r>
      <w:rPr>
        <w:noProof/>
        <w:lang w:eastAsia="en-AU"/>
      </w:rPr>
      <w:drawing>
        <wp:inline distT="0" distB="0" distL="0" distR="0" wp14:anchorId="5957B823" wp14:editId="4ABEF8D5">
          <wp:extent cx="2725200" cy="1051200"/>
          <wp:effectExtent l="0" t="0" r="0" b="0"/>
          <wp:docPr id="3" name="Picture 3"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2725200" cy="1051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318E"/>
    <w:multiLevelType w:val="hybridMultilevel"/>
    <w:tmpl w:val="7E3E878A"/>
    <w:lvl w:ilvl="0" w:tplc="B9E65E24">
      <w:numFmt w:val="bullet"/>
      <w:lvlText w:val=""/>
      <w:lvlJc w:val="left"/>
      <w:pPr>
        <w:ind w:left="720" w:hanging="360"/>
      </w:pPr>
      <w:rPr>
        <w:rFonts w:ascii="Symbol" w:hAnsi="Symbol" w:cstheme="minorBidi" w:hint="default"/>
        <w:color w:val="auto"/>
      </w:rPr>
    </w:lvl>
    <w:lvl w:ilvl="1" w:tplc="56DCA560">
      <w:start w:val="1"/>
      <w:numFmt w:val="bullet"/>
      <w:lvlText w:val="o"/>
      <w:lvlJc w:val="left"/>
      <w:pPr>
        <w:ind w:left="1440" w:hanging="360"/>
      </w:pPr>
      <w:rPr>
        <w:rFonts w:ascii="Courier New" w:hAnsi="Courier New"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A969A8"/>
    <w:multiLevelType w:val="multilevel"/>
    <w:tmpl w:val="2D0EC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615703"/>
    <w:multiLevelType w:val="multilevel"/>
    <w:tmpl w:val="803CF862"/>
    <w:numStyleLink w:val="List1Numbered"/>
  </w:abstractNum>
  <w:abstractNum w:abstractNumId="10" w15:restartNumberingAfterBreak="0">
    <w:nsid w:val="6D4F423B"/>
    <w:multiLevelType w:val="multilevel"/>
    <w:tmpl w:val="4A7CCC2C"/>
    <w:numStyleLink w:val="DefaultBullets"/>
  </w:abstractNum>
  <w:abstractNum w:abstractNumId="1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7327B19"/>
    <w:multiLevelType w:val="hybridMultilevel"/>
    <w:tmpl w:val="2EAC026C"/>
    <w:lvl w:ilvl="0" w:tplc="D2FA4734">
      <w:start w:val="1"/>
      <w:numFmt w:val="bullet"/>
      <w:lvlText w:val="o"/>
      <w:lvlJc w:val="left"/>
      <w:pPr>
        <w:ind w:left="720" w:hanging="360"/>
      </w:pPr>
      <w:rPr>
        <w:rFonts w:ascii="Courier New" w:hAnsi="Courier New" w:hint="default"/>
        <w:color w:val="000000" w:themeColor="text1"/>
      </w:rPr>
    </w:lvl>
    <w:lvl w:ilvl="1" w:tplc="D2FA4734">
      <w:start w:val="1"/>
      <w:numFmt w:val="bullet"/>
      <w:lvlText w:val="o"/>
      <w:lvlJc w:val="left"/>
      <w:pPr>
        <w:ind w:left="1440" w:hanging="360"/>
      </w:pPr>
      <w:rPr>
        <w:rFonts w:ascii="Courier New" w:hAnsi="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0B67C4"/>
    <w:multiLevelType w:val="multilevel"/>
    <w:tmpl w:val="FE688822"/>
    <w:numStyleLink w:val="BoxedBullets"/>
  </w:abstractNum>
  <w:num w:numId="1">
    <w:abstractNumId w:val="1"/>
  </w:num>
  <w:num w:numId="2">
    <w:abstractNumId w:val="6"/>
  </w:num>
  <w:num w:numId="3">
    <w:abstractNumId w:val="13"/>
  </w:num>
  <w:num w:numId="4">
    <w:abstractNumId w:val="5"/>
  </w:num>
  <w:num w:numId="5">
    <w:abstractNumId w:val="3"/>
  </w:num>
  <w:num w:numId="6">
    <w:abstractNumId w:val="2"/>
  </w:num>
  <w:num w:numId="7">
    <w:abstractNumId w:val="9"/>
  </w:num>
  <w:num w:numId="8">
    <w:abstractNumId w:val="8"/>
  </w:num>
  <w:num w:numId="9">
    <w:abstractNumId w:val="4"/>
  </w:num>
  <w:num w:numId="10">
    <w:abstractNumId w:val="11"/>
  </w:num>
  <w:num w:numId="11">
    <w:abstractNumId w:val="1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2"/>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AF"/>
    <w:rsid w:val="00014758"/>
    <w:rsid w:val="00022808"/>
    <w:rsid w:val="0003614B"/>
    <w:rsid w:val="00036FBC"/>
    <w:rsid w:val="00066EC0"/>
    <w:rsid w:val="00073A42"/>
    <w:rsid w:val="00074860"/>
    <w:rsid w:val="00080615"/>
    <w:rsid w:val="000813C3"/>
    <w:rsid w:val="000838D5"/>
    <w:rsid w:val="00085827"/>
    <w:rsid w:val="000B06E5"/>
    <w:rsid w:val="000B3B62"/>
    <w:rsid w:val="000B7595"/>
    <w:rsid w:val="000C252F"/>
    <w:rsid w:val="000D61A4"/>
    <w:rsid w:val="000F282C"/>
    <w:rsid w:val="000F3A54"/>
    <w:rsid w:val="000F48FC"/>
    <w:rsid w:val="0011042A"/>
    <w:rsid w:val="00112D44"/>
    <w:rsid w:val="00120452"/>
    <w:rsid w:val="00122466"/>
    <w:rsid w:val="001354D2"/>
    <w:rsid w:val="0014354E"/>
    <w:rsid w:val="00144366"/>
    <w:rsid w:val="0014468E"/>
    <w:rsid w:val="00146B0A"/>
    <w:rsid w:val="00154D24"/>
    <w:rsid w:val="00154E23"/>
    <w:rsid w:val="00161BB2"/>
    <w:rsid w:val="00167146"/>
    <w:rsid w:val="00184B62"/>
    <w:rsid w:val="00185A88"/>
    <w:rsid w:val="0018670A"/>
    <w:rsid w:val="001A0EB8"/>
    <w:rsid w:val="001A3955"/>
    <w:rsid w:val="001C5F8A"/>
    <w:rsid w:val="001E3893"/>
    <w:rsid w:val="00201052"/>
    <w:rsid w:val="00215E55"/>
    <w:rsid w:val="00231AAC"/>
    <w:rsid w:val="00236FEF"/>
    <w:rsid w:val="00246ED2"/>
    <w:rsid w:val="0025309C"/>
    <w:rsid w:val="0025780C"/>
    <w:rsid w:val="00257963"/>
    <w:rsid w:val="00260CCC"/>
    <w:rsid w:val="00270B93"/>
    <w:rsid w:val="0027481F"/>
    <w:rsid w:val="002804D3"/>
    <w:rsid w:val="002851AD"/>
    <w:rsid w:val="00291939"/>
    <w:rsid w:val="002A1169"/>
    <w:rsid w:val="002A3102"/>
    <w:rsid w:val="002B3779"/>
    <w:rsid w:val="002B6333"/>
    <w:rsid w:val="002C38AB"/>
    <w:rsid w:val="002E185D"/>
    <w:rsid w:val="002E1D1E"/>
    <w:rsid w:val="00301633"/>
    <w:rsid w:val="00317F9A"/>
    <w:rsid w:val="00320636"/>
    <w:rsid w:val="00325CC4"/>
    <w:rsid w:val="003315AC"/>
    <w:rsid w:val="003316E7"/>
    <w:rsid w:val="003449A0"/>
    <w:rsid w:val="00346072"/>
    <w:rsid w:val="00352361"/>
    <w:rsid w:val="003604D4"/>
    <w:rsid w:val="00362AB6"/>
    <w:rsid w:val="00365324"/>
    <w:rsid w:val="00381A04"/>
    <w:rsid w:val="00382D99"/>
    <w:rsid w:val="003977AE"/>
    <w:rsid w:val="003A2CDE"/>
    <w:rsid w:val="003B2A6B"/>
    <w:rsid w:val="003B652A"/>
    <w:rsid w:val="003C20C6"/>
    <w:rsid w:val="003C7930"/>
    <w:rsid w:val="003E3A29"/>
    <w:rsid w:val="003E5FEE"/>
    <w:rsid w:val="003E6023"/>
    <w:rsid w:val="003F29B8"/>
    <w:rsid w:val="003F3015"/>
    <w:rsid w:val="003F3CF0"/>
    <w:rsid w:val="003F737C"/>
    <w:rsid w:val="00401462"/>
    <w:rsid w:val="00403D2D"/>
    <w:rsid w:val="00407473"/>
    <w:rsid w:val="004154E2"/>
    <w:rsid w:val="00420AC3"/>
    <w:rsid w:val="004246BF"/>
    <w:rsid w:val="00424CDF"/>
    <w:rsid w:val="00427CD3"/>
    <w:rsid w:val="00432589"/>
    <w:rsid w:val="00433B27"/>
    <w:rsid w:val="004359DF"/>
    <w:rsid w:val="00437A5A"/>
    <w:rsid w:val="00443B61"/>
    <w:rsid w:val="004469DB"/>
    <w:rsid w:val="00455AAF"/>
    <w:rsid w:val="00473D5B"/>
    <w:rsid w:val="004A2422"/>
    <w:rsid w:val="004A7652"/>
    <w:rsid w:val="004C0583"/>
    <w:rsid w:val="004C08C1"/>
    <w:rsid w:val="004D4273"/>
    <w:rsid w:val="004E4F77"/>
    <w:rsid w:val="004F6490"/>
    <w:rsid w:val="004F6CAA"/>
    <w:rsid w:val="005104D5"/>
    <w:rsid w:val="00516F59"/>
    <w:rsid w:val="00517A79"/>
    <w:rsid w:val="005209DA"/>
    <w:rsid w:val="00534D53"/>
    <w:rsid w:val="00544AF8"/>
    <w:rsid w:val="00552F7E"/>
    <w:rsid w:val="00553B25"/>
    <w:rsid w:val="00562EF5"/>
    <w:rsid w:val="0056347F"/>
    <w:rsid w:val="00582377"/>
    <w:rsid w:val="00582A32"/>
    <w:rsid w:val="0058723B"/>
    <w:rsid w:val="00596C22"/>
    <w:rsid w:val="005A5109"/>
    <w:rsid w:val="005A5AD6"/>
    <w:rsid w:val="005A6930"/>
    <w:rsid w:val="005C3CA6"/>
    <w:rsid w:val="005C5F81"/>
    <w:rsid w:val="005D602B"/>
    <w:rsid w:val="005E4FA3"/>
    <w:rsid w:val="005E79DE"/>
    <w:rsid w:val="005F11B4"/>
    <w:rsid w:val="00611140"/>
    <w:rsid w:val="00625ED7"/>
    <w:rsid w:val="00646885"/>
    <w:rsid w:val="00650E13"/>
    <w:rsid w:val="00655246"/>
    <w:rsid w:val="00662EB7"/>
    <w:rsid w:val="006631EF"/>
    <w:rsid w:val="00665443"/>
    <w:rsid w:val="00667FCB"/>
    <w:rsid w:val="0067135E"/>
    <w:rsid w:val="00680A20"/>
    <w:rsid w:val="00680F04"/>
    <w:rsid w:val="00686149"/>
    <w:rsid w:val="0069026A"/>
    <w:rsid w:val="006A5FB6"/>
    <w:rsid w:val="006B13C2"/>
    <w:rsid w:val="006B2AC4"/>
    <w:rsid w:val="006C2E3F"/>
    <w:rsid w:val="006C4295"/>
    <w:rsid w:val="006C6206"/>
    <w:rsid w:val="006D3BE6"/>
    <w:rsid w:val="006E2EC4"/>
    <w:rsid w:val="006E6751"/>
    <w:rsid w:val="006E6ACB"/>
    <w:rsid w:val="006F34B1"/>
    <w:rsid w:val="00704236"/>
    <w:rsid w:val="0070474D"/>
    <w:rsid w:val="007403A4"/>
    <w:rsid w:val="00741917"/>
    <w:rsid w:val="0074409C"/>
    <w:rsid w:val="0076178C"/>
    <w:rsid w:val="00766D0D"/>
    <w:rsid w:val="007703DE"/>
    <w:rsid w:val="00772582"/>
    <w:rsid w:val="00772D96"/>
    <w:rsid w:val="00774F7B"/>
    <w:rsid w:val="00780515"/>
    <w:rsid w:val="007840D4"/>
    <w:rsid w:val="0079299E"/>
    <w:rsid w:val="00794F6E"/>
    <w:rsid w:val="007A24B7"/>
    <w:rsid w:val="007B1E3D"/>
    <w:rsid w:val="00816261"/>
    <w:rsid w:val="00831110"/>
    <w:rsid w:val="008337BA"/>
    <w:rsid w:val="00843246"/>
    <w:rsid w:val="00862CED"/>
    <w:rsid w:val="00870DED"/>
    <w:rsid w:val="00876027"/>
    <w:rsid w:val="008827FC"/>
    <w:rsid w:val="00883463"/>
    <w:rsid w:val="00892172"/>
    <w:rsid w:val="008930A0"/>
    <w:rsid w:val="008A61CE"/>
    <w:rsid w:val="008A649A"/>
    <w:rsid w:val="008C0762"/>
    <w:rsid w:val="008C599D"/>
    <w:rsid w:val="008C5CB7"/>
    <w:rsid w:val="008C72D0"/>
    <w:rsid w:val="008E21DE"/>
    <w:rsid w:val="008F2A5F"/>
    <w:rsid w:val="008F44F3"/>
    <w:rsid w:val="00900B25"/>
    <w:rsid w:val="00912857"/>
    <w:rsid w:val="0092559D"/>
    <w:rsid w:val="00925F60"/>
    <w:rsid w:val="0092679E"/>
    <w:rsid w:val="00937EEC"/>
    <w:rsid w:val="00983F36"/>
    <w:rsid w:val="00997170"/>
    <w:rsid w:val="009A0711"/>
    <w:rsid w:val="009A2831"/>
    <w:rsid w:val="009B1A13"/>
    <w:rsid w:val="009C1019"/>
    <w:rsid w:val="009C4968"/>
    <w:rsid w:val="009C7227"/>
    <w:rsid w:val="009D4846"/>
    <w:rsid w:val="009E00FE"/>
    <w:rsid w:val="00A07E4A"/>
    <w:rsid w:val="00A12B90"/>
    <w:rsid w:val="00A14B71"/>
    <w:rsid w:val="00A271A3"/>
    <w:rsid w:val="00A301BD"/>
    <w:rsid w:val="00A32941"/>
    <w:rsid w:val="00A60009"/>
    <w:rsid w:val="00A64698"/>
    <w:rsid w:val="00A708B6"/>
    <w:rsid w:val="00A81A7A"/>
    <w:rsid w:val="00AA094B"/>
    <w:rsid w:val="00AA262A"/>
    <w:rsid w:val="00AA5648"/>
    <w:rsid w:val="00AA5B74"/>
    <w:rsid w:val="00AA6426"/>
    <w:rsid w:val="00AA6E0E"/>
    <w:rsid w:val="00AB12D5"/>
    <w:rsid w:val="00AC1403"/>
    <w:rsid w:val="00AC6968"/>
    <w:rsid w:val="00AD4235"/>
    <w:rsid w:val="00AD735D"/>
    <w:rsid w:val="00AE6F93"/>
    <w:rsid w:val="00AF0899"/>
    <w:rsid w:val="00AF4103"/>
    <w:rsid w:val="00AF4539"/>
    <w:rsid w:val="00B0103B"/>
    <w:rsid w:val="00B0176C"/>
    <w:rsid w:val="00B025D1"/>
    <w:rsid w:val="00B073DF"/>
    <w:rsid w:val="00B16D55"/>
    <w:rsid w:val="00B204CB"/>
    <w:rsid w:val="00B24673"/>
    <w:rsid w:val="00B27EC4"/>
    <w:rsid w:val="00B31FA7"/>
    <w:rsid w:val="00B35BDF"/>
    <w:rsid w:val="00B36D11"/>
    <w:rsid w:val="00B56B1F"/>
    <w:rsid w:val="00B56C14"/>
    <w:rsid w:val="00B603C0"/>
    <w:rsid w:val="00B61EEA"/>
    <w:rsid w:val="00B70F5F"/>
    <w:rsid w:val="00B71B75"/>
    <w:rsid w:val="00B72A20"/>
    <w:rsid w:val="00B74E48"/>
    <w:rsid w:val="00B77355"/>
    <w:rsid w:val="00B80518"/>
    <w:rsid w:val="00B83AB4"/>
    <w:rsid w:val="00B9649B"/>
    <w:rsid w:val="00B96E29"/>
    <w:rsid w:val="00BA07D8"/>
    <w:rsid w:val="00BB2B97"/>
    <w:rsid w:val="00BB44CB"/>
    <w:rsid w:val="00BC1FA6"/>
    <w:rsid w:val="00BC676B"/>
    <w:rsid w:val="00BD0246"/>
    <w:rsid w:val="00BD34BA"/>
    <w:rsid w:val="00BE56F5"/>
    <w:rsid w:val="00BE69A9"/>
    <w:rsid w:val="00BE7FA5"/>
    <w:rsid w:val="00C00D40"/>
    <w:rsid w:val="00C0421C"/>
    <w:rsid w:val="00C06887"/>
    <w:rsid w:val="00C10202"/>
    <w:rsid w:val="00C1056D"/>
    <w:rsid w:val="00C14592"/>
    <w:rsid w:val="00C21944"/>
    <w:rsid w:val="00C426B7"/>
    <w:rsid w:val="00C47439"/>
    <w:rsid w:val="00C52C59"/>
    <w:rsid w:val="00C6534A"/>
    <w:rsid w:val="00C778DF"/>
    <w:rsid w:val="00C77EDD"/>
    <w:rsid w:val="00C81D06"/>
    <w:rsid w:val="00C857E2"/>
    <w:rsid w:val="00C90DF2"/>
    <w:rsid w:val="00C92FAF"/>
    <w:rsid w:val="00CA1DA1"/>
    <w:rsid w:val="00CA22BD"/>
    <w:rsid w:val="00CB6F09"/>
    <w:rsid w:val="00CC1527"/>
    <w:rsid w:val="00CC7467"/>
    <w:rsid w:val="00CD1978"/>
    <w:rsid w:val="00CE242C"/>
    <w:rsid w:val="00CE4DAF"/>
    <w:rsid w:val="00CF4B1E"/>
    <w:rsid w:val="00D006A1"/>
    <w:rsid w:val="00D02769"/>
    <w:rsid w:val="00D0330B"/>
    <w:rsid w:val="00D11A59"/>
    <w:rsid w:val="00D12F51"/>
    <w:rsid w:val="00D13A33"/>
    <w:rsid w:val="00D22787"/>
    <w:rsid w:val="00D31AB5"/>
    <w:rsid w:val="00D41245"/>
    <w:rsid w:val="00D4149A"/>
    <w:rsid w:val="00D63426"/>
    <w:rsid w:val="00D707CA"/>
    <w:rsid w:val="00D741EE"/>
    <w:rsid w:val="00D80474"/>
    <w:rsid w:val="00D86EF2"/>
    <w:rsid w:val="00DA28FF"/>
    <w:rsid w:val="00DA3529"/>
    <w:rsid w:val="00DB2A2E"/>
    <w:rsid w:val="00DB6554"/>
    <w:rsid w:val="00DB7E41"/>
    <w:rsid w:val="00DC7F93"/>
    <w:rsid w:val="00DD50F6"/>
    <w:rsid w:val="00DD5A1E"/>
    <w:rsid w:val="00DE5A3B"/>
    <w:rsid w:val="00DE6222"/>
    <w:rsid w:val="00DF74BA"/>
    <w:rsid w:val="00E04F64"/>
    <w:rsid w:val="00E07719"/>
    <w:rsid w:val="00E1442F"/>
    <w:rsid w:val="00E17FCA"/>
    <w:rsid w:val="00E22BCC"/>
    <w:rsid w:val="00E260AC"/>
    <w:rsid w:val="00E30DA3"/>
    <w:rsid w:val="00E45669"/>
    <w:rsid w:val="00E85452"/>
    <w:rsid w:val="00E92BDF"/>
    <w:rsid w:val="00E96523"/>
    <w:rsid w:val="00EA14D0"/>
    <w:rsid w:val="00EC53E4"/>
    <w:rsid w:val="00EE737C"/>
    <w:rsid w:val="00EF2B68"/>
    <w:rsid w:val="00F07161"/>
    <w:rsid w:val="00F10A81"/>
    <w:rsid w:val="00F13AB6"/>
    <w:rsid w:val="00F31343"/>
    <w:rsid w:val="00F41988"/>
    <w:rsid w:val="00F46AA7"/>
    <w:rsid w:val="00F63882"/>
    <w:rsid w:val="00F704CE"/>
    <w:rsid w:val="00F87E80"/>
    <w:rsid w:val="00F9318C"/>
    <w:rsid w:val="00F97A98"/>
    <w:rsid w:val="00FA0FAF"/>
    <w:rsid w:val="00FA1BF1"/>
    <w:rsid w:val="00FA7B0F"/>
    <w:rsid w:val="00FA7C34"/>
    <w:rsid w:val="00FC4EAA"/>
    <w:rsid w:val="00FC6B01"/>
    <w:rsid w:val="00FC6C11"/>
    <w:rsid w:val="00FD1543"/>
    <w:rsid w:val="00FD66D7"/>
    <w:rsid w:val="00FE0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CA0AC"/>
  <w15:chartTrackingRefBased/>
  <w15:docId w15:val="{B5CB91AA-A76F-492A-92DB-A36E8AEA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427CD3"/>
    <w:pPr>
      <w:spacing w:before="0" w:after="0"/>
      <w:jc w:val="center"/>
    </w:pPr>
    <w:rPr>
      <w:iCs/>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6F34B1"/>
    <w:pPr>
      <w:spacing w:before="3960"/>
      <w:outlineLvl w:val="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6F34B1"/>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C1056D"/>
    <w:pPr>
      <w:suppressAutoHyphens w:val="0"/>
      <w:spacing w:before="0" w:line="276" w:lineRule="auto"/>
      <w:ind w:left="720"/>
      <w:contextualSpacing/>
    </w:pPr>
    <w:rPr>
      <w:rFonts w:ascii="Arial" w:hAnsi="Arial"/>
      <w:color w:val="auto"/>
      <w:szCs w:val="22"/>
    </w:rPr>
  </w:style>
  <w:style w:type="character" w:styleId="CommentReference">
    <w:name w:val="annotation reference"/>
    <w:basedOn w:val="DefaultParagraphFont"/>
    <w:uiPriority w:val="99"/>
    <w:semiHidden/>
    <w:unhideWhenUsed/>
    <w:rsid w:val="00C1056D"/>
    <w:rPr>
      <w:sz w:val="16"/>
      <w:szCs w:val="16"/>
    </w:rPr>
  </w:style>
  <w:style w:type="paragraph" w:styleId="CommentText">
    <w:name w:val="annotation text"/>
    <w:basedOn w:val="Normal"/>
    <w:link w:val="CommentTextChar"/>
    <w:uiPriority w:val="99"/>
    <w:unhideWhenUsed/>
    <w:rsid w:val="00C1056D"/>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rsid w:val="00C1056D"/>
    <w:rPr>
      <w:rFonts w:ascii="Arial" w:hAnsi="Arial"/>
      <w:color w:val="auto"/>
    </w:rPr>
  </w:style>
  <w:style w:type="paragraph" w:customStyle="1" w:styleId="paragraph">
    <w:name w:val="paragraph"/>
    <w:basedOn w:val="Normal"/>
    <w:rsid w:val="00C1056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C1056D"/>
  </w:style>
  <w:style w:type="paragraph" w:styleId="NormalWeb">
    <w:name w:val="Normal (Web)"/>
    <w:basedOn w:val="Normal"/>
    <w:uiPriority w:val="99"/>
    <w:semiHidden/>
    <w:unhideWhenUsed/>
    <w:rsid w:val="00C1056D"/>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styleId="CommentSubject">
    <w:name w:val="annotation subject"/>
    <w:basedOn w:val="CommentText"/>
    <w:next w:val="CommentText"/>
    <w:link w:val="CommentSubjectChar"/>
    <w:uiPriority w:val="99"/>
    <w:semiHidden/>
    <w:unhideWhenUsed/>
    <w:rsid w:val="006E6ACB"/>
    <w:pPr>
      <w:suppressAutoHyphens/>
      <w:spacing w:before="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6E6ACB"/>
    <w:rPr>
      <w:rFonts w:ascii="Arial" w:hAnsi="Arial"/>
      <w:b/>
      <w:bCs/>
      <w:color w:val="auto"/>
    </w:rPr>
  </w:style>
  <w:style w:type="paragraph" w:styleId="Revision">
    <w:name w:val="Revision"/>
    <w:hidden/>
    <w:uiPriority w:val="99"/>
    <w:semiHidden/>
    <w:rsid w:val="009E00FE"/>
    <w:pPr>
      <w:spacing w:before="0" w:after="0"/>
    </w:pPr>
    <w:rPr>
      <w:sz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locked/>
    <w:rsid w:val="003F737C"/>
    <w:rPr>
      <w:rFonts w:ascii="Arial" w:hAnsi="Arial"/>
      <w:color w:val="auto"/>
      <w:sz w:val="22"/>
      <w:szCs w:val="22"/>
    </w:rPr>
  </w:style>
  <w:style w:type="character" w:customStyle="1" w:styleId="ui-provider">
    <w:name w:val="ui-provider"/>
    <w:basedOn w:val="DefaultParagraphFont"/>
    <w:rsid w:val="003F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066213">
      <w:bodyDiv w:val="1"/>
      <w:marLeft w:val="0"/>
      <w:marRight w:val="0"/>
      <w:marTop w:val="0"/>
      <w:marBottom w:val="0"/>
      <w:divBdr>
        <w:top w:val="none" w:sz="0" w:space="0" w:color="auto"/>
        <w:left w:val="none" w:sz="0" w:space="0" w:color="auto"/>
        <w:bottom w:val="none" w:sz="0" w:space="0" w:color="auto"/>
        <w:right w:val="none" w:sz="0" w:space="0" w:color="auto"/>
      </w:divBdr>
    </w:div>
    <w:div w:id="1053115685">
      <w:bodyDiv w:val="1"/>
      <w:marLeft w:val="0"/>
      <w:marRight w:val="0"/>
      <w:marTop w:val="0"/>
      <w:marBottom w:val="0"/>
      <w:divBdr>
        <w:top w:val="none" w:sz="0" w:space="0" w:color="auto"/>
        <w:left w:val="none" w:sz="0" w:space="0" w:color="auto"/>
        <w:bottom w:val="none" w:sz="0" w:space="0" w:color="auto"/>
        <w:right w:val="none" w:sz="0" w:space="0" w:color="auto"/>
      </w:divBdr>
    </w:div>
    <w:div w:id="1239904706">
      <w:bodyDiv w:val="1"/>
      <w:marLeft w:val="0"/>
      <w:marRight w:val="0"/>
      <w:marTop w:val="0"/>
      <w:marBottom w:val="0"/>
      <w:divBdr>
        <w:top w:val="none" w:sz="0" w:space="0" w:color="auto"/>
        <w:left w:val="none" w:sz="0" w:space="0" w:color="auto"/>
        <w:bottom w:val="none" w:sz="0" w:space="0" w:color="auto"/>
        <w:right w:val="none" w:sz="0" w:space="0" w:color="auto"/>
      </w:divBdr>
    </w:div>
    <w:div w:id="1241793308">
      <w:bodyDiv w:val="1"/>
      <w:marLeft w:val="0"/>
      <w:marRight w:val="0"/>
      <w:marTop w:val="0"/>
      <w:marBottom w:val="0"/>
      <w:divBdr>
        <w:top w:val="none" w:sz="0" w:space="0" w:color="auto"/>
        <w:left w:val="none" w:sz="0" w:space="0" w:color="auto"/>
        <w:bottom w:val="none" w:sz="0" w:space="0" w:color="auto"/>
        <w:right w:val="none" w:sz="0" w:space="0" w:color="auto"/>
      </w:divBdr>
    </w:div>
    <w:div w:id="1394500043">
      <w:bodyDiv w:val="1"/>
      <w:marLeft w:val="0"/>
      <w:marRight w:val="0"/>
      <w:marTop w:val="0"/>
      <w:marBottom w:val="0"/>
      <w:divBdr>
        <w:top w:val="none" w:sz="0" w:space="0" w:color="auto"/>
        <w:left w:val="none" w:sz="0" w:space="0" w:color="auto"/>
        <w:bottom w:val="none" w:sz="0" w:space="0" w:color="auto"/>
        <w:right w:val="none" w:sz="0" w:space="0" w:color="auto"/>
      </w:divBdr>
    </w:div>
    <w:div w:id="1487822032">
      <w:bodyDiv w:val="1"/>
      <w:marLeft w:val="0"/>
      <w:marRight w:val="0"/>
      <w:marTop w:val="0"/>
      <w:marBottom w:val="0"/>
      <w:divBdr>
        <w:top w:val="none" w:sz="0" w:space="0" w:color="auto"/>
        <w:left w:val="none" w:sz="0" w:space="0" w:color="auto"/>
        <w:bottom w:val="none" w:sz="0" w:space="0" w:color="auto"/>
        <w:right w:val="none" w:sz="0" w:space="0" w:color="auto"/>
      </w:divBdr>
    </w:div>
    <w:div w:id="1936086979">
      <w:bodyDiv w:val="1"/>
      <w:marLeft w:val="0"/>
      <w:marRight w:val="0"/>
      <w:marTop w:val="0"/>
      <w:marBottom w:val="0"/>
      <w:divBdr>
        <w:top w:val="none" w:sz="0" w:space="0" w:color="auto"/>
        <w:left w:val="none" w:sz="0" w:space="0" w:color="auto"/>
        <w:bottom w:val="none" w:sz="0" w:space="0" w:color="auto"/>
        <w:right w:val="none" w:sz="0" w:space="0" w:color="auto"/>
      </w:divBdr>
    </w:div>
    <w:div w:id="21054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orkforcecapability.ndiscommission.gov.au/tools-and-resources" TargetMode="External"/><Relationship Id="rId26" Type="http://schemas.openxmlformats.org/officeDocument/2006/relationships/hyperlink" Target="https://www.adcet.edu.au/" TargetMode="External"/><Relationship Id="rId39" Type="http://schemas.openxmlformats.org/officeDocument/2006/relationships/hyperlink" Target="https://www.saxinstitute.org.au/" TargetMode="External"/><Relationship Id="rId21" Type="http://schemas.openxmlformats.org/officeDocument/2006/relationships/image" Target="media/image5.PNG"/><Relationship Id="rId34" Type="http://schemas.openxmlformats.org/officeDocument/2006/relationships/hyperlink" Target="https://raisingchildren.net.au" TargetMode="External"/><Relationship Id="rId42" Type="http://schemas.openxmlformats.org/officeDocument/2006/relationships/hyperlink" Target="https://www.ndiscommission.gov.&#8204;au/resources/language-and-formats/easy-read-information%23paragraph-id-5142&#8204;" TargetMode="External"/><Relationship Id="rId47" Type="http://schemas.openxmlformats.org/officeDocument/2006/relationships/hyperlink" Target="https://www.legislation.gov.au/Details/F2021C01137" TargetMode="External"/><Relationship Id="rId50" Type="http://schemas.openxmlformats.org/officeDocument/2006/relationships/hyperlink" Target="https://www.nhmrc.gov.au/about-us/publications/australian-code-responsible-conduct-research-2018" TargetMode="External"/><Relationship Id="rId55" Type="http://schemas.openxmlformats.org/officeDocument/2006/relationships/hyperlink" Target="https://ndiscommission.gov.au/resources/provider-and-worker-resources"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ndiscommission.gov.au/resources/language-and-formats/easy-read-information" TargetMode="External"/><Relationship Id="rId29" Type="http://schemas.openxmlformats.org/officeDocument/2006/relationships/hyperlink" Target="https://www.cochranelibrary.com/" TargetMode="External"/><Relationship Id="rId41" Type="http://schemas.openxmlformats.org/officeDocument/2006/relationships/hyperlink" Target="https://dissemination-implementation.org/tool/" TargetMode="External"/><Relationship Id="rId54" Type="http://schemas.openxmlformats.org/officeDocument/2006/relationships/hyperlink" Target="tel:1800035544"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fetyandquality.gov.au/" TargetMode="External"/><Relationship Id="rId32" Type="http://schemas.openxmlformats.org/officeDocument/2006/relationships/hyperlink" Target="https://www.ahpra.gov.au/" TargetMode="External"/><Relationship Id="rId37" Type="http://schemas.openxmlformats.org/officeDocument/2006/relationships/hyperlink" Target="https://www.nice.org.uk/" TargetMode="External"/><Relationship Id="rId40" Type="http://schemas.openxmlformats.org/officeDocument/2006/relationships/hyperlink" Target="https://www.who.int/" TargetMode="External"/><Relationship Id="rId45" Type="http://schemas.openxmlformats.org/officeDocument/2006/relationships/hyperlink" Target="https://www.legislation.gov.au/Details/C2022C00206" TargetMode="External"/><Relationship Id="rId53" Type="http://schemas.openxmlformats.org/officeDocument/2006/relationships/hyperlink" Target="https://www.facs.nsw.gov.au/__data/assets/pdf_file/0007/789163/What-is-an-Evidence-Hierarchy.pdf" TargetMode="Externa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ourguidelines.ndis.gov.au/how-ndis-supports-work-menu/what-principles-do-we-follow-create-your-plan/what-principles-do-we-use-create-your-plan/evidence-based-best-practice" TargetMode="External"/><Relationship Id="rId23" Type="http://schemas.openxmlformats.org/officeDocument/2006/relationships/hyperlink" Target="https://www.agedcarequality.gov.au/" TargetMode="External"/><Relationship Id="rId28" Type="http://schemas.openxmlformats.org/officeDocument/2006/relationships/hyperlink" Target="https://www.autismcrc.com.au/" TargetMode="External"/><Relationship Id="rId36" Type="http://schemas.openxmlformats.org/officeDocument/2006/relationships/hyperlink" Target="https://www.nhmrc.gov.au/" TargetMode="External"/><Relationship Id="rId49" Type="http://schemas.openxmlformats.org/officeDocument/2006/relationships/hyperlink" Target="https://www.legislation.gov.au/Details/F2021C01130" TargetMode="External"/><Relationship Id="rId57" Type="http://schemas.openxmlformats.org/officeDocument/2006/relationships/hyperlink" Target="mailto:researchandpractice@ndiscommission.gov.au" TargetMode="External"/><Relationship Id="rId61"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health.gov.au/" TargetMode="External"/><Relationship Id="rId44" Type="http://schemas.openxmlformats.org/officeDocument/2006/relationships/hyperlink" Target="https://workforcecapability.ndiscommission.gov.au/tools-and-resources" TargetMode="External"/><Relationship Id="rId52" Type="http://schemas.openxmlformats.org/officeDocument/2006/relationships/hyperlink" Target="https://www.facs.nsw.gov.au/providers/children-families/early-intervention/using-evidence-in-the-targeted-earlier-intervention-program/chapters/what-is-evidence-informed-practice"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discommission.gov.au/" TargetMode="External"/><Relationship Id="rId27" Type="http://schemas.openxmlformats.org/officeDocument/2006/relationships/hyperlink" Target="https://aifs.gov.au" TargetMode="External"/><Relationship Id="rId30" Type="http://schemas.openxmlformats.org/officeDocument/2006/relationships/hyperlink" Target="https://g-i-n.net/international-guidelines-library" TargetMode="External"/><Relationship Id="rId35" Type="http://schemas.openxmlformats.org/officeDocument/2006/relationships/hyperlink" Target="https://ndis.gov.au/" TargetMode="External"/><Relationship Id="rId43" Type="http://schemas.openxmlformats.org/officeDocument/2006/relationships/hyperlink" Target="https://workforcecapability.ndiscommission.gov.au/" TargetMode="External"/><Relationship Id="rId48" Type="http://schemas.openxmlformats.org/officeDocument/2006/relationships/hyperlink" Target="https://www.legislation.gov.au/Details/F2020C01087" TargetMode="External"/><Relationship Id="rId56" Type="http://schemas.openxmlformats.org/officeDocument/2006/relationships/hyperlink" Target="mailto:behavioursupport@ndiscommission.gov.au"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nhmrc.gov.au/guidelinesforguidelines/plan/identifying-and-managing-conflicts-interes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humanrights.gov.au/" TargetMode="External"/><Relationship Id="rId33" Type="http://schemas.openxmlformats.org/officeDocument/2006/relationships/hyperlink" Target="https://psychology.org.au" TargetMode="External"/><Relationship Id="rId38" Type="http://schemas.openxmlformats.org/officeDocument/2006/relationships/hyperlink" Target="https://www.sign.ac.uk/our-guidelines/" TargetMode="External"/><Relationship Id="rId46" Type="http://schemas.openxmlformats.org/officeDocument/2006/relationships/hyperlink" Target="https://www.legislation.gov.au/Details/F2018L00629" TargetMode="External"/><Relationship Id="rId5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6.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AA49BC5903E448A3E19CF68558DDEC" ma:contentTypeVersion="2" ma:contentTypeDescription="Create a new document." ma:contentTypeScope="" ma:versionID="8ee651f5e3da5e35dcbb43e152944b68">
  <xsd:schema xmlns:xsd="http://www.w3.org/2001/XMLSchema" xmlns:xs="http://www.w3.org/2001/XMLSchema" xmlns:p="http://schemas.microsoft.com/office/2006/metadata/properties" xmlns:ns1="http://schemas.microsoft.com/sharepoint/v3" xmlns:ns2="70c97565-21fa-4874-9a56-f56e250ee8ff" targetNamespace="http://schemas.microsoft.com/office/2006/metadata/properties" ma:root="true" ma:fieldsID="95fad669566fc3fa049357f357f56d2a" ns1:_="" ns2:_="">
    <xsd:import namespace="http://schemas.microsoft.com/sharepoint/v3"/>
    <xsd:import namespace="70c97565-21fa-4874-9a56-f56e250ee8f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7565-21fa-4874-9a56-f56e250ee8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0c97565-21fa-4874-9a56-f56e250ee8ff">XXRX33EKAAPY-2130132310-23</_dlc_DocId>
    <_dlc_DocIdUrl xmlns="70c97565-21fa-4874-9a56-f56e250ee8ff">
      <Url>https://qscnet/our-business/_layouts/15/DocIdRedir.aspx?ID=XXRX33EKAAPY-2130132310-23</Url>
      <Description>XXRX33EKAAPY-2130132310-23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BEBA-66C3-44EC-A5B9-68E311243AA6}">
  <ds:schemaRefs>
    <ds:schemaRef ds:uri="http://schemas.microsoft.com/sharepoint/events"/>
  </ds:schemaRefs>
</ds:datastoreItem>
</file>

<file path=customXml/itemProps2.xml><?xml version="1.0" encoding="utf-8"?>
<ds:datastoreItem xmlns:ds="http://schemas.openxmlformats.org/officeDocument/2006/customXml" ds:itemID="{7B13F3EE-A9AA-4F91-A5E3-9E3C67B5C94C}">
  <ds:schemaRefs>
    <ds:schemaRef ds:uri="http://schemas.microsoft.com/sharepoint/v3/contenttype/forms"/>
  </ds:schemaRefs>
</ds:datastoreItem>
</file>

<file path=customXml/itemProps3.xml><?xml version="1.0" encoding="utf-8"?>
<ds:datastoreItem xmlns:ds="http://schemas.openxmlformats.org/officeDocument/2006/customXml" ds:itemID="{7CCD1975-689D-46D3-835A-065D499C2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97565-21fa-4874-9a56-f56e250e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3257E-F314-4BDE-8249-365327E34BC8}">
  <ds:schemaRefs>
    <ds:schemaRef ds:uri="http://schemas.microsoft.com/office/2006/metadata/properties"/>
    <ds:schemaRef ds:uri="http://schemas.microsoft.com/office/infopath/2007/PartnerControls"/>
    <ds:schemaRef ds:uri="http://schemas.microsoft.com/sharepoint/v3"/>
    <ds:schemaRef ds:uri="70c97565-21fa-4874-9a56-f56e250ee8ff"/>
  </ds:schemaRefs>
</ds:datastoreItem>
</file>

<file path=customXml/itemProps5.xml><?xml version="1.0" encoding="utf-8"?>
<ds:datastoreItem xmlns:ds="http://schemas.openxmlformats.org/officeDocument/2006/customXml" ds:itemID="{00B415E1-10E8-4833-9E9D-0A6A27B9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3367</Words>
  <Characters>20560</Characters>
  <Application>Microsoft Office Word</Application>
  <DocSecurity>0</DocSecurity>
  <Lines>363</Lines>
  <Paragraphs>219</Paragraphs>
  <ScaleCrop>false</ScaleCrop>
  <HeadingPairs>
    <vt:vector size="2" baseType="variant">
      <vt:variant>
        <vt:lpstr>Title</vt:lpstr>
      </vt:variant>
      <vt:variant>
        <vt:i4>1</vt:i4>
      </vt:variant>
    </vt:vector>
  </HeadingPairs>
  <TitlesOfParts>
    <vt:vector size="1" baseType="lpstr">
      <vt:lpstr>Evidence Informed Practice Guide</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Informed Practice Guide</dc:title>
  <dc:subject/>
  <dc:creator>JORGENSEN, Mikaela;MUSGROVE, Rachelle;CORFIELD, Debra</dc:creator>
  <cp:keywords>[SEC=OFFICIAL]</cp:keywords>
  <dc:description/>
  <cp:lastModifiedBy>MARTIN, Jessica</cp:lastModifiedBy>
  <cp:revision>2</cp:revision>
  <dcterms:created xsi:type="dcterms:W3CDTF">2023-07-05T07:51:00Z</dcterms:created>
  <dcterms:modified xsi:type="dcterms:W3CDTF">2023-07-05T07:51:00Z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0x010100DFAA49BC5903E448A3E19CF68558DDEC</vt:lpwstr>
  </property>
  <property fmtid="{D5CDD505-2E9C-101B-9397-08002B2CF9AE}" pid="3" name="_dlc_DocIdItemGuid">
    <vt:lpwstr>8729fb70-d30c-4f6f-85ae-ef1294009131</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CB69AB0F2E6C4EBDB73EF1A41A7E2E9A</vt:lpwstr>
  </property>
  <property fmtid="{D5CDD505-2E9C-101B-9397-08002B2CF9AE}" pid="11" name="PM_ProtectiveMarkingValue_Footer">
    <vt:lpwstr>OFFICIAL</vt:lpwstr>
  </property>
  <property fmtid="{D5CDD505-2E9C-101B-9397-08002B2CF9AE}" pid="12" name="PM_Originator_Hash_SHA1">
    <vt:lpwstr>38F9BF24E34B9020E28CEEAE4D48B506C0CA5314</vt:lpwstr>
  </property>
  <property fmtid="{D5CDD505-2E9C-101B-9397-08002B2CF9AE}" pid="13" name="PM_OriginationTimeStamp">
    <vt:lpwstr>2023-07-05T07:51:08Z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B5512C65E48465AB185CFF42DED115CC</vt:lpwstr>
  </property>
  <property fmtid="{D5CDD505-2E9C-101B-9397-08002B2CF9AE}" pid="23" name="PM_Hash_Salt">
    <vt:lpwstr>B4C6B7198FE40658F13DBB20466AA33C</vt:lpwstr>
  </property>
  <property fmtid="{D5CDD505-2E9C-101B-9397-08002B2CF9AE}" pid="24" name="PM_Hash_SHA1">
    <vt:lpwstr>CA808D09C4A5A072F208D5D91F9F88CBE8DA7914</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